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753">
        <w:rPr>
          <w:rFonts w:ascii="Calibri" w:eastAsia="Calibri" w:hAnsi="Calibri" w:cs="Times New Roman"/>
          <w:b/>
          <w:i/>
          <w:noProof/>
          <w:sz w:val="28"/>
          <w:szCs w:val="28"/>
        </w:rPr>
        <w:drawing>
          <wp:inline distT="0" distB="0" distL="0" distR="0" wp14:anchorId="6949A54C" wp14:editId="4957509E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образование</w:t>
      </w: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/>
          <w:sz w:val="28"/>
          <w:szCs w:val="28"/>
        </w:rPr>
        <w:t>городской округ город Ханты-Мансийск</w:t>
      </w: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2753">
        <w:rPr>
          <w:rFonts w:ascii="Times New Roman" w:eastAsia="Times New Roman" w:hAnsi="Times New Roman" w:cs="Times New Roman"/>
          <w:b/>
          <w:sz w:val="32"/>
          <w:szCs w:val="32"/>
        </w:rPr>
        <w:t>ДУМА ГОРОДА ХАНТЫ-МАНСИЙСКА</w:t>
      </w: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82753" w:rsidRPr="00582753" w:rsidRDefault="00582753" w:rsidP="00582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2753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582753" w:rsidRPr="00582753" w:rsidRDefault="00582753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</w:t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Принято</w:t>
      </w:r>
    </w:p>
    <w:p w:rsidR="00582753" w:rsidRPr="00582753" w:rsidRDefault="00582753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  <w:t xml:space="preserve">18 декабря 2015 года </w:t>
      </w:r>
    </w:p>
    <w:p w:rsidR="009D422F" w:rsidRPr="004A648C" w:rsidRDefault="009D422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9D422F" w:rsidRPr="004A648C" w:rsidRDefault="00E5771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Об одобрении проекта изменений </w:t>
      </w:r>
    </w:p>
    <w:p w:rsidR="009D422F" w:rsidRPr="004A648C" w:rsidRDefault="00E5771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в муниципальную программу </w:t>
      </w:r>
    </w:p>
    <w:p w:rsidR="009D422F" w:rsidRPr="004A648C" w:rsidRDefault="00E5771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города Ханты-Мансийска</w:t>
      </w:r>
    </w:p>
    <w:p w:rsidR="009D422F" w:rsidRPr="004A648C" w:rsidRDefault="00E5771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«Развитие образования в городе</w:t>
      </w:r>
    </w:p>
    <w:p w:rsidR="009D422F" w:rsidRPr="004A648C" w:rsidRDefault="00667EF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 w:rsidRPr="004A648C">
        <w:rPr>
          <w:rFonts w:ascii="Times New Roman" w:eastAsia="Times New Roman" w:hAnsi="Times New Roman" w:cs="Times New Roman"/>
          <w:sz w:val="28"/>
        </w:rPr>
        <w:t>Ханты-Мансийске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на 2014</w:t>
      </w:r>
      <w:r w:rsidR="00E57718" w:rsidRPr="004A648C">
        <w:rPr>
          <w:rFonts w:ascii="Times New Roman" w:eastAsia="Times New Roman" w:hAnsi="Times New Roman" w:cs="Times New Roman"/>
          <w:sz w:val="28"/>
        </w:rPr>
        <w:t>-2020 годы»</w:t>
      </w:r>
    </w:p>
    <w:p w:rsidR="009D422F" w:rsidRPr="004A648C" w:rsidRDefault="009D422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422F" w:rsidRPr="004A648C" w:rsidRDefault="00E577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ab/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 xml:space="preserve">Рассмотрев проект изменений в муниципальную программу города Ханты-Мансийска «Развитие образования в городе Ханты-Мансийске на 2014-2020 годы», утвержденную постановлением Администрации города Ханты-Мансийска от 05 ноября 2013 года № 1421 (в редакции постановлений Администрации </w:t>
      </w:r>
      <w:r w:rsidR="001A04A9">
        <w:rPr>
          <w:rFonts w:ascii="Times New Roman" w:eastAsia="Times New Roman" w:hAnsi="Times New Roman" w:cs="Times New Roman"/>
          <w:sz w:val="28"/>
        </w:rPr>
        <w:t xml:space="preserve">города Ханты-Мансийска от 19 февраля </w:t>
      </w:r>
      <w:r w:rsidRPr="004A648C">
        <w:rPr>
          <w:rFonts w:ascii="Times New Roman" w:eastAsia="Times New Roman" w:hAnsi="Times New Roman" w:cs="Times New Roman"/>
          <w:sz w:val="28"/>
        </w:rPr>
        <w:t>2014</w:t>
      </w:r>
      <w:r w:rsidR="001A04A9">
        <w:rPr>
          <w:rFonts w:ascii="Times New Roman" w:eastAsia="Times New Roman" w:hAnsi="Times New Roman" w:cs="Times New Roman"/>
          <w:sz w:val="28"/>
        </w:rPr>
        <w:t xml:space="preserve"> года № 106, от 24 октября </w:t>
      </w:r>
      <w:r w:rsidRPr="004A648C">
        <w:rPr>
          <w:rFonts w:ascii="Times New Roman" w:eastAsia="Times New Roman" w:hAnsi="Times New Roman" w:cs="Times New Roman"/>
          <w:sz w:val="28"/>
        </w:rPr>
        <w:t>2014</w:t>
      </w:r>
      <w:r w:rsidR="001A04A9">
        <w:rPr>
          <w:rFonts w:ascii="Times New Roman" w:eastAsia="Times New Roman" w:hAnsi="Times New Roman" w:cs="Times New Roman"/>
          <w:sz w:val="28"/>
        </w:rPr>
        <w:t xml:space="preserve"> года № 1047, от 31 декабря </w:t>
      </w:r>
      <w:r w:rsidRPr="004A648C">
        <w:rPr>
          <w:rFonts w:ascii="Times New Roman" w:eastAsia="Times New Roman" w:hAnsi="Times New Roman" w:cs="Times New Roman"/>
          <w:sz w:val="28"/>
        </w:rPr>
        <w:t xml:space="preserve">2014 </w:t>
      </w:r>
      <w:r w:rsidR="001A04A9">
        <w:rPr>
          <w:rFonts w:ascii="Times New Roman" w:eastAsia="Times New Roman" w:hAnsi="Times New Roman" w:cs="Times New Roman"/>
          <w:sz w:val="28"/>
        </w:rPr>
        <w:t xml:space="preserve">года №1310, от 17 декабря </w:t>
      </w:r>
      <w:r w:rsidRPr="004A648C">
        <w:rPr>
          <w:rFonts w:ascii="Times New Roman" w:eastAsia="Times New Roman" w:hAnsi="Times New Roman" w:cs="Times New Roman"/>
          <w:sz w:val="28"/>
        </w:rPr>
        <w:t>2015</w:t>
      </w:r>
      <w:r w:rsidR="001A04A9">
        <w:rPr>
          <w:rFonts w:ascii="Times New Roman" w:eastAsia="Times New Roman" w:hAnsi="Times New Roman" w:cs="Times New Roman"/>
          <w:sz w:val="28"/>
        </w:rPr>
        <w:t xml:space="preserve"> года</w:t>
      </w:r>
      <w:r w:rsidRPr="004A648C">
        <w:rPr>
          <w:rFonts w:ascii="Times New Roman" w:eastAsia="Times New Roman" w:hAnsi="Times New Roman" w:cs="Times New Roman"/>
          <w:sz w:val="28"/>
        </w:rPr>
        <w:t xml:space="preserve"> № 551), руководствуясь частью 1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статьи 69 Устава города Ханты-Мансийска,</w:t>
      </w:r>
    </w:p>
    <w:p w:rsidR="009D422F" w:rsidRPr="004A648C" w:rsidRDefault="009D4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422F" w:rsidRPr="004A648C" w:rsidRDefault="00E57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Дума города Ханты-Мансийска РЕШИЛА:</w:t>
      </w:r>
    </w:p>
    <w:p w:rsidR="009D422F" w:rsidRPr="004A648C" w:rsidRDefault="009D4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D422F" w:rsidRPr="004A648C" w:rsidRDefault="00E577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ab/>
        <w:t xml:space="preserve">Одобрить проект изменений в муниципальную программу города Ханты-Мансийска «Развитие образования </w:t>
      </w:r>
      <w:r w:rsidR="00072C99" w:rsidRPr="004A648C">
        <w:rPr>
          <w:rFonts w:ascii="Times New Roman" w:eastAsia="Times New Roman" w:hAnsi="Times New Roman" w:cs="Times New Roman"/>
          <w:sz w:val="28"/>
        </w:rPr>
        <w:t>в городе Ханты-Мансийске на 2014</w:t>
      </w:r>
      <w:r w:rsidRPr="004A648C">
        <w:rPr>
          <w:rFonts w:ascii="Times New Roman" w:eastAsia="Times New Roman" w:hAnsi="Times New Roman" w:cs="Times New Roman"/>
          <w:sz w:val="28"/>
        </w:rPr>
        <w:t>-2020 годы» согласно приложению к настоящему Решению.</w:t>
      </w:r>
    </w:p>
    <w:p w:rsidR="009D422F" w:rsidRPr="004A648C" w:rsidRDefault="009D4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D422F" w:rsidRPr="004A648C" w:rsidRDefault="009D4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D422F" w:rsidRPr="004A648C" w:rsidRDefault="00E5771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 xml:space="preserve">Глава города </w:t>
      </w:r>
      <w:proofErr w:type="gramStart"/>
      <w:r w:rsidRPr="004A648C">
        <w:rPr>
          <w:rFonts w:ascii="Times New Roman" w:eastAsia="Times New Roman" w:hAnsi="Times New Roman" w:cs="Times New Roman"/>
          <w:b/>
          <w:sz w:val="28"/>
        </w:rPr>
        <w:t xml:space="preserve">Ханты – </w:t>
      </w:r>
      <w:proofErr w:type="spellStart"/>
      <w:r w:rsidRPr="004A648C">
        <w:rPr>
          <w:rFonts w:ascii="Times New Roman" w:eastAsia="Times New Roman" w:hAnsi="Times New Roman" w:cs="Times New Roman"/>
          <w:b/>
          <w:sz w:val="28"/>
        </w:rPr>
        <w:t>Мансийска</w:t>
      </w:r>
      <w:proofErr w:type="spellEnd"/>
      <w:proofErr w:type="gramEnd"/>
      <w:r w:rsidRPr="004A648C">
        <w:rPr>
          <w:rFonts w:ascii="Times New Roman" w:eastAsia="Times New Roman" w:hAnsi="Times New Roman" w:cs="Times New Roman"/>
          <w:b/>
          <w:sz w:val="28"/>
        </w:rPr>
        <w:t xml:space="preserve">                </w:t>
      </w:r>
      <w:r w:rsidR="001D10EB" w:rsidRPr="004A648C">
        <w:rPr>
          <w:rFonts w:ascii="Times New Roman" w:eastAsia="Times New Roman" w:hAnsi="Times New Roman" w:cs="Times New Roman"/>
          <w:b/>
          <w:sz w:val="28"/>
        </w:rPr>
        <w:t xml:space="preserve">                   </w:t>
      </w:r>
      <w:r w:rsidR="001A04A9"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1D10EB" w:rsidRPr="004A648C">
        <w:rPr>
          <w:rFonts w:ascii="Times New Roman" w:eastAsia="Times New Roman" w:hAnsi="Times New Roman" w:cs="Times New Roman"/>
          <w:b/>
          <w:sz w:val="28"/>
        </w:rPr>
        <w:t xml:space="preserve">      </w:t>
      </w:r>
      <w:r w:rsidRPr="004A648C">
        <w:rPr>
          <w:rFonts w:ascii="Times New Roman" w:eastAsia="Times New Roman" w:hAnsi="Times New Roman" w:cs="Times New Roman"/>
          <w:b/>
          <w:sz w:val="28"/>
        </w:rPr>
        <w:t xml:space="preserve"> В.А. Филипенко</w:t>
      </w:r>
    </w:p>
    <w:p w:rsidR="009D422F" w:rsidRPr="004A648C" w:rsidRDefault="009D422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A04A9" w:rsidRDefault="00E57718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ab/>
      </w:r>
      <w:r w:rsidRPr="004A648C">
        <w:rPr>
          <w:rFonts w:ascii="Times New Roman" w:eastAsia="Times New Roman" w:hAnsi="Times New Roman" w:cs="Times New Roman"/>
          <w:b/>
          <w:sz w:val="28"/>
        </w:rPr>
        <w:tab/>
      </w:r>
      <w:r w:rsidRPr="004A648C">
        <w:rPr>
          <w:rFonts w:ascii="Times New Roman" w:eastAsia="Times New Roman" w:hAnsi="Times New Roman" w:cs="Times New Roman"/>
          <w:b/>
          <w:sz w:val="28"/>
        </w:rPr>
        <w:tab/>
      </w:r>
      <w:r w:rsidRPr="004A648C">
        <w:rPr>
          <w:rFonts w:ascii="Times New Roman" w:eastAsia="Times New Roman" w:hAnsi="Times New Roman" w:cs="Times New Roman"/>
          <w:b/>
          <w:sz w:val="28"/>
        </w:rPr>
        <w:tab/>
      </w:r>
      <w:r w:rsidRPr="004A648C">
        <w:rPr>
          <w:rFonts w:ascii="Times New Roman" w:eastAsia="Times New Roman" w:hAnsi="Times New Roman" w:cs="Times New Roman"/>
          <w:b/>
          <w:sz w:val="28"/>
        </w:rPr>
        <w:tab/>
      </w:r>
      <w:r w:rsidRPr="004A648C">
        <w:rPr>
          <w:rFonts w:ascii="Times New Roman" w:eastAsia="Times New Roman" w:hAnsi="Times New Roman" w:cs="Times New Roman"/>
          <w:b/>
          <w:sz w:val="28"/>
        </w:rPr>
        <w:tab/>
      </w:r>
    </w:p>
    <w:p w:rsidR="00582753" w:rsidRPr="00582753" w:rsidRDefault="00582753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Подписано</w:t>
      </w:r>
    </w:p>
    <w:p w:rsidR="00582753" w:rsidRPr="00582753" w:rsidRDefault="00582753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</w:r>
      <w:r w:rsidRPr="005827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ab/>
        <w:t xml:space="preserve">18 декабря 2015 года </w:t>
      </w:r>
    </w:p>
    <w:p w:rsidR="00582753" w:rsidRPr="00582753" w:rsidRDefault="00582753" w:rsidP="005827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582753" w:rsidRPr="00582753" w:rsidRDefault="00582753" w:rsidP="005827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proofErr w:type="gramStart"/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Ханты – </w:t>
      </w:r>
      <w:proofErr w:type="spellStart"/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</w:rPr>
        <w:t>Мансийск</w:t>
      </w:r>
      <w:proofErr w:type="spellEnd"/>
      <w:proofErr w:type="gramEnd"/>
    </w:p>
    <w:p w:rsidR="00582753" w:rsidRPr="00582753" w:rsidRDefault="00582753" w:rsidP="005827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18 декабря 2015 года </w:t>
      </w:r>
    </w:p>
    <w:p w:rsidR="00582753" w:rsidRPr="00582753" w:rsidRDefault="00582753" w:rsidP="005827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№ 744</w:t>
      </w:r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</w:t>
      </w:r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V</w:t>
      </w:r>
      <w:r w:rsidRPr="0058275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</w:t>
      </w:r>
      <w:r w:rsidRPr="00582753">
        <w:rPr>
          <w:rFonts w:ascii="Times New Roman" w:eastAsia="Times New Roman" w:hAnsi="Times New Roman" w:cs="Times New Roman"/>
          <w:bCs/>
          <w:iCs/>
          <w:sz w:val="28"/>
          <w:szCs w:val="28"/>
        </w:rPr>
        <w:t>РД</w:t>
      </w:r>
    </w:p>
    <w:p w:rsidR="00582753" w:rsidRDefault="00582753" w:rsidP="005827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 xml:space="preserve">Приложение </w:t>
      </w: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к Решению Думы города Ханты-Мансийска</w:t>
      </w:r>
    </w:p>
    <w:p w:rsidR="009D5812" w:rsidRPr="004A648C" w:rsidRDefault="00B736A5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от 18 декабря 2015 года №  744 </w:t>
      </w:r>
      <w:bookmarkStart w:id="0" w:name="_GoBack"/>
      <w:bookmarkEnd w:id="0"/>
      <w:r w:rsidR="009D5812" w:rsidRPr="004A648C">
        <w:rPr>
          <w:rFonts w:ascii="Times New Roman" w:eastAsia="Times New Roman" w:hAnsi="Times New Roman" w:cs="Times New Roman"/>
          <w:sz w:val="28"/>
        </w:rPr>
        <w:t>- V РД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 xml:space="preserve">Проект изменений 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>в муниципальную программу города Ханты-Мансийска «Развитие образования в городе Ханты-Мансийске на 2014 – 2020 годы»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«Муниципальную программу «Развитие образования в городе Ханты-Мансийске на 2014 – 2020 годы» изложить в следующей редакции: </w:t>
      </w: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«Муниципальная программа города Ханты-Мансийска «Развитие образования в городе Ханты-Мансийске на 2016 - 2020 годы».</w:t>
      </w:r>
    </w:p>
    <w:p w:rsidR="009D5812" w:rsidRPr="004A648C" w:rsidRDefault="009D5812" w:rsidP="009D58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Паспорт программы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10632" w:type="dxa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7088"/>
      </w:tblGrid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образования в городе Ханты-Мансийске на 2016 - 2020 годы» (далее - программа)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обоснование для разработки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0">
              <w:r w:rsidRPr="004A648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29.12.2012 № 273-ФЗ «Об образовании в Российской Федерации»;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>
              <w:r w:rsidRPr="004A648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>
              <w:r w:rsidRPr="004A648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Правительства Ханты-Мансийского автономного округа - Югры от 09.10.2013 № 413-п «О государственной программе Ханты-Мансийского автономного округа - Югры «Развитие образования </w:t>
            </w:r>
            <w:proofErr w:type="gramStart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Ханты-Мансийском</w:t>
            </w:r>
            <w:proofErr w:type="gramEnd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автономном округе - Югре на 2014 - 2020 годы»;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>
              <w:r w:rsidRPr="004A648C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 Ханты-Мансийска от 08.12.2014 № 1191 «О программах города Ханты-Мансийска»;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города Ханты-Мансийска от 26.08.2013 № 223-р «О разработке муниципальной программы города Ханты-Мансийска «Развитие образования в городе Ханты-Мансийске на 2014 - 2016 годы».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образования Администрации города Ханты-Мансийска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образования Администрации города Ханты-Мансийска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образования Администрации города Ханты-Мансийска (далее - Департамент образования);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Департамент муниципальной собственности 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Администрации города Ханты-Мансийска (далее - Департамент муниципальной собственности);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градостроительства и архитектуры Администрации города Ханты-Мансийска (далее - Департамент градостроительства и архитектуры);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"Дирекция по содержанию имущества казны" (далее - Дирекция по содержанию имущества казны);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городского хозяйства Администрации города Ханты-Мансийска (далее - Департамент городского хозяйства);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"Управление капитального строительства города Ханты-Мансийска" (далее - Управление капитального строительства);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организации, подведомственные Департаменту образования Администрации города Ханты-Мансийска.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Основные цели и задачи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Цель: Обеспечение доступности качественного образования, соответствующего современным потребностям инновационного развития экономики муниципального образования, современным потребностям общества и каждого жителя города Ханты-Мансийска.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Задачи: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1) обеспечение условий для развития системы выявления, поддержки и сопровождения одарённых детей, развития индивидуальных способностей, личностных качеств, творческого потенциала детей;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2) создание системных механизмов сохранения и укрепления здоровья детей в организациях образования;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3) модернизация системы подготовки, переподготовки и повышения квалификации педагогов и руководителей образовательных организаций;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4) оснащение материально-технической базы образовательных организаций в соответствии с современными требованиями;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5) развитие системы дополнительного образования детей;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6) поддержка системы воспитания и обучения детей, посещающих образовательные организации, реализующие образовательную программу дошкольного образования;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7) развитие муниципальной системы оценки качества образования, включающей оценку результатов деятельности по реализации федерального 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государственного образовательного стандарта и учет динамики достижений каждого обучающегося;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8) вовлечение обучающихся в социальную активную деятельность, развитие детских и юношеских объединений;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9) создание условий для развития гражданских, военно-патриотических качеств обучающихся;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10) оказание психологической помощи обучающимся, оказавшимся в трудной жизненной ситуации</w:t>
            </w:r>
            <w:proofErr w:type="gramEnd"/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11) повышение качества управления в системе образования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12) повышение качества финансового обеспечения полномочий местного самоуправления;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13) обеспечение комплексной безопасности образовательных организаций;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14) развитие инфраструктуры общего и дополнительного образования.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2016 - 2020 годы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I «Общее образование. Дополнительное образование детей»;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II «Система оценки качества образования и информационная прозрачность системы образования»;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III «Допризывная подготовка </w:t>
            </w:r>
            <w:proofErr w:type="gramStart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IV «Ресурсное обеспечение системы образования».</w:t>
            </w:r>
          </w:p>
        </w:tc>
      </w:tr>
      <w:tr w:rsidR="009D5812" w:rsidRPr="004A648C" w:rsidTr="00A364A5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программы (всего)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– 16 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6 627 169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,0 рублей, в том числе: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автономного округа – 12 352 980 900,0 рублей;</w:t>
            </w:r>
          </w:p>
          <w:p w:rsidR="009D5812" w:rsidRPr="004A648C" w:rsidRDefault="009D5812" w:rsidP="00A36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города Ханты-Мансийска – 4 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646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269</w:t>
            </w:r>
            <w:r w:rsidRPr="004A648C">
              <w:rPr>
                <w:rFonts w:ascii="Times New Roman" w:eastAsia="Times New Roman" w:hAnsi="Times New Roman" w:cs="Times New Roman"/>
                <w:sz w:val="28"/>
                <w:szCs w:val="28"/>
              </w:rPr>
              <w:t>,0 рублей.</w:t>
            </w:r>
          </w:p>
        </w:tc>
      </w:tr>
    </w:tbl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a5"/>
        <w:numPr>
          <w:ilvl w:val="0"/>
          <w:numId w:val="7"/>
        </w:num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Характеристика проблемы, на решение которой направлена программа</w:t>
      </w:r>
    </w:p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1.1. Приоритеты государственной политики в сфере образования города Ханты-Мансийска на период реализации программы сформированы с учетом целей и задач, представленных в нормативных правовых актах федерального, регионального и муниципального уровней: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Федеральный закон Российской Федерации от 29 декабря 2012 года № 273-ФЗ «Об образовании в Российской Федерации»;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12 мая 2009 года № 537 «О стратегии национальной безопасности Российской Федерации до 2020 года»;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Указ Президента Российской Федерации от 7 мая 2012 года № 597 «О мероприятиях по реализации государственной социальной политики»;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7 мая 2012 года № 599 «О мерах по реализации государственной политики в области образования и науки»;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7 мая 2012 года № 602 «Об обеспечении межнационального согласия»;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Указ Президента Российской Федерации от 1 июня 2012 года № 761 «О национальной стратегии действий в интересах детей на 2012-2017 годы»;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Стратегия развития информационного общества в Российской Федерации, утвержденная Президентом Российской Федерации 7 февраля 2008 года № Пр-212;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от 07.02.2011 № 61 «О Федеральной целевой программе развития образования на 2011 - 2015 годы»;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Правительства РФ от 17.11.2008 № 1662-р «О Концепции долгосрочного социально-экономического развития Российской Федерации на период до 2020 года»;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РФ от 08.12.2011 № 2227-р «Об утверждении Стратегии инновационного развития Российской Федерации на период до 2020 года»;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РФ от 07.09.2010 № 1507-р «О реализации национальной образовательной инициативы «Наша новая школа»;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от 15.04.2014 № 295 «Об утверждении государственной программы Российской Федерации «Развитие образования» на 2013 - 2020 годы»;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Закон ХМАО - Югры от 16.10.2006 № 104-оз «О государственно-общественном управлении в сфере дополнительного образования детей, общего и профессионального образования Ханты-Мансийского автономного округа – Югры»;</w:t>
      </w:r>
    </w:p>
    <w:p w:rsidR="009D5812" w:rsidRPr="004A648C" w:rsidRDefault="009D5812" w:rsidP="009D5812">
      <w:pPr>
        <w:pStyle w:val="ConsPlusNormal"/>
        <w:ind w:firstLine="709"/>
        <w:jc w:val="both"/>
      </w:pPr>
      <w:r w:rsidRPr="004A648C">
        <w:t>Распоряжение Правительства ХМАО - Югры от 22.03.2013 № 101-рп «О стратегии социально-экономического развития Ханты-Мансийского автономного округа - Югры до 2020 года и на период до 2030 года»;</w:t>
      </w:r>
    </w:p>
    <w:p w:rsidR="009D5812" w:rsidRPr="004A648C" w:rsidRDefault="009D5812" w:rsidP="009D5812">
      <w:pPr>
        <w:pStyle w:val="ConsPlusNormal"/>
        <w:ind w:firstLine="709"/>
        <w:jc w:val="both"/>
      </w:pPr>
      <w:r w:rsidRPr="004A648C">
        <w:t>Распоряжение Правительства ХМАО - Югры от 19.12.2010 № 91-рп «О стратегии развития образования Ханты-Мансийского автономного округа – Югры до 2020 года»;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Распоряжение Правительства РФ от 29.11.2014 № 2403-р «Об утверждении Основ государственной молодежной политики Российской Федерации на период до 2025 года»;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Закон Ханты-Мансийского автономного округа – Югры от 01.07.2013 года № 68-оз «Об образовании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Ханты-Мансийском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автономном округе – Югре»;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Закон ХМАО - Югры от 30.04.2011 № 27-оз «О реализации государственной молодежной политики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Ханты-Мансийском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автономном округе – Югре»;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(«дорожная карта») «Изменения в отраслях социальной сферы, направленные на повышение эффективности образования и науки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Ханты-Мансийском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автономном округе – Югре, утвержденный постановлением 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Правительства Ханты-Мансийского автономного округа – Югры от 09.02.2013 № 45-п;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План мероприятий («дорожная карта») «Изменения, направленные на повышение эффективности образования в городе Ханты-Мансийске» утвержденный распоряжением Администрации города Ханты-Мансийска от 18.03.2013 № 62-р.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1.2. Исходя из анализа текущего состояния сферы образования в городе Ханты-Мансийске, в соответствии с приоритетами государственной политики, определены следующие направления развития: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повышение доступности качественного дошкольного, начального общего, основного общего, среднего общего и дополнительного образования в соответствии с потребностями граждан;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увеличение количества детей, пользующихся услугами дополнительного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развитие сферы непрерывного образования, включающей гибко организованные вариативные формы образования и социализации на протяжении всей жизни человека;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повышение качества результатов образования на разных уровнях, обеспечение соответствия образовательных результатов меняющимся запросам населения, а также перспективным задачам развития общества и экономики;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услуг, включая обучающихся, их семьи, работодателей и местные сообщества через вовлечение их как в развитие системы образования и управление образовательным процессом, так и непосредственно в образовательную деятельность;</w:t>
      </w:r>
    </w:p>
    <w:p w:rsidR="009D5812" w:rsidRPr="004A648C" w:rsidRDefault="009D5812" w:rsidP="009D5812">
      <w:pPr>
        <w:pStyle w:val="ConsPlusNormal"/>
        <w:ind w:firstLine="709"/>
        <w:jc w:val="both"/>
      </w:pPr>
      <w:r w:rsidRPr="004A648C">
        <w:t>повышение престижа рабочих специальностей у выпускников школ;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укрепление единства образовательного пространства, выравнивание образовательных возможностей граждан независимо от места проживания, проведение единой политики в области содержания образования, распространение лучших практик управления образованием;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повышение заработной платы педагогических работников дошкольного, дополнительного образования, работников общеобразовательных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политики в сфере духовно-нравственного развития и воспитания детей и молодёжи, защиты их нравственности;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1.3. Действия по реализации данных приоритетов закрепляются в настоящей муниципальной программе.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1.4. В системе образования города Ханты-Мансийска в последние годы сложились устойчивые тенденции создания условий, обеспечивающих качество и доступность образовательных услуг.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1.5. Современная система образования города Ханты-Мансийска представляет собой сеть муниципальных </w:t>
      </w:r>
      <w:proofErr w:type="spellStart"/>
      <w:r w:rsidRPr="004A648C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и разнонаправленных организаций дошкольного, общего, дополнительного образования, которые 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реализуют разнообразные образовательные программы и удовлетворяют потребности обучающихся.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1.6. Муниципальная система образования представлена 41 образовательными организациями, из них: 9 общеобразовательных организаций, 19 дошкольных образовательных организаций, 9 организаций дополнительного образования детей и 4 прочих образовательных организации. В муниципальной сети созданы условия для обеспечения потребностей социума в дифференцированном обучении.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1.7. За последнее десятилетие муниципальная образовательная сеть претерпела изменения: в соответствии с графиком реструктуризации 1 организация была закрыта, 2 организации (начальная школа -</w:t>
      </w:r>
      <w:r w:rsidR="00B736A5">
        <w:rPr>
          <w:rFonts w:ascii="Times New Roman" w:eastAsia="Times New Roman" w:hAnsi="Times New Roman" w:cs="Times New Roman"/>
          <w:sz w:val="28"/>
          <w:szCs w:val="28"/>
        </w:rPr>
        <w:t xml:space="preserve"> детский сад) перешли в статус «детский сад»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t>, реорганизованы путем присоединения три детских сада и общеобразовательная школа. Сохранена вариативность общеобразовательных организаций - в городе функционируют школа с углубленным изучением отдельных предметов, гимназия.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1.8. В городской системе образования в целом сложилась эффективная система управления, которая сохраняет и развивает свой потенциал и продолжает являться определяющим фактором социально-экономического развития города.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1.9. Приняты меры по обеспечению общедоступности дошкольного образования.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За период 2010 - 2015 годы, в соответствии с долгосрочной целевой программой Ханты-Мансийского автономного округа «Новая школа Югры на 2010 - 2013 годы и на период до 2015 года», и государственной программой Ханты-Мансийского автономного округа - Югры «Развитие образования в Ханты-Мансийском автономном округе-Югре на 2014-2020 годы», через механизм соглашения о сотрудничестве между Тюменской областью и ХМАО-Югры, а так же путем реализации  механизма государственно-частного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партнерства введено в эксплуатацию 8 детских садов общей проектной мощностью 1 900 мест: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 7 «Елочка» –  300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 15 «Страна чудес» –  200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 18 «Улыбка» –  200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МАДОУ Детский сад  № 22 «Планета детства» –  200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 17 «Незнайка» – 300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 9 «Одуванчик» (дополнительный корпус) – 140 мест;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МБДОУ Детский сад № 12 «Брусничка» –  260 мест;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МБДОУ Детский сад №20 «Сказка» (дополнительный корпус) - 300 мест.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Кроме того, в 2011 году Администрацией города Ханты-Мансийска приобретено в муниципальную собственность здание детского сада проектной мощностью 130 мест.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Запланировано строительство 3 детских садов общей мощностью 800 мест,  что позволит не только 100% обеспечить детей в возрасте от 3 до 7 лет дошкольным образованием, но и увеличить охват детей возрастной категории от 1.5 до 3 лет, а также расширить спектр вариативных форм предоставления дошкольного образования для детей всех возрастных категорий.</w:t>
      </w:r>
      <w:proofErr w:type="gramEnd"/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Несмотря на реализуемые меры по оптимизации помещений, введению дополнительных мест в функционирующих дошкольных организациях, открытию дошкольных групп на базе общеобразовательных организаций и организаций дополнительного образования, расширения альтернативных форм предоставления дошкольного образования, в связи с высокими показателями рождаемости и активными миграционными процессами  проблемы доступности предоставления дошкольного образования сохраняются.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1.10. Введена дифференциация дошкольных образовательных организаций по видам и категориям, развита сеть детских организаций и групп компенсирующего вида, ведется целенаправленная работа по осуществлению преемственности дошкольного и начального общего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эффективного введения федерального государственного стандарта дошкольного образования (далее - ФГОС ДО), утвержденного приказом Министерства образования и науки Российской Федерации от 17 октября 2013 года № 1155 «Об утверждении федерального государственного образовательного стандарта дошкольного образования», в городе функционируют 3 региональные пилотные площадки на базе: </w:t>
      </w:r>
      <w:proofErr w:type="gramEnd"/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- МБДОУ «Центр развития ребенка – детский сад № 8 «Солнышко» по внедрению федерального государственного образовательного стандарта дошкольного образования, также организации присвоен статус пилотных площадок по развитию государственного общественного управления;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- МБДОУ «Центр развития ребенка – детский сад № 15 «Страна чудес» присвоен статус региональной пилотной площадки по апробации образовательной программы «Югорский трамплин».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Значительно улучшена материально-техническая база организаций, предоставляющих услуги дошкольного образования.</w:t>
      </w:r>
    </w:p>
    <w:p w:rsidR="009D5812" w:rsidRPr="004A648C" w:rsidRDefault="009D5812" w:rsidP="009D5812">
      <w:pPr>
        <w:pStyle w:val="a5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Направленно решается проблема охвата дошкольным образованием детей с ограниченными возможностями и детей – инвалидов в рамках инклюзивного образования, однако в части дошкольных образовательных организаций города не созданы условия для получения услуг дошкольного образования детьми данной категории и </w:t>
      </w:r>
      <w:proofErr w:type="spellStart"/>
      <w:r w:rsidRPr="004A648C">
        <w:rPr>
          <w:rFonts w:ascii="Times New Roman" w:eastAsia="Times New Roman" w:hAnsi="Times New Roman" w:cs="Times New Roman"/>
          <w:sz w:val="28"/>
          <w:szCs w:val="28"/>
        </w:rPr>
        <w:t>безбарьерная</w:t>
      </w:r>
      <w:proofErr w:type="spell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среда организована частично.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Муниципальная система дошкольного образования предоставляет услуги по воспитанию и оздоровлению детей нуждающихся в особых условиях создания образовательной среды: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с нарушениями зрения в группах компенсирующей направленности в детском саду № 20 «Сказка»;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proofErr w:type="spellStart"/>
      <w:r w:rsidRPr="004A648C">
        <w:rPr>
          <w:rFonts w:ascii="Times New Roman" w:eastAsia="Times New Roman" w:hAnsi="Times New Roman" w:cs="Times New Roman"/>
          <w:sz w:val="28"/>
          <w:szCs w:val="28"/>
        </w:rPr>
        <w:t>атопическим</w:t>
      </w:r>
      <w:proofErr w:type="spell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дерматитом и респираторными </w:t>
      </w:r>
      <w:proofErr w:type="spellStart"/>
      <w:r w:rsidRPr="004A648C">
        <w:rPr>
          <w:rFonts w:ascii="Times New Roman" w:eastAsia="Times New Roman" w:hAnsi="Times New Roman" w:cs="Times New Roman"/>
          <w:sz w:val="28"/>
          <w:szCs w:val="28"/>
        </w:rPr>
        <w:t>аллергозами</w:t>
      </w:r>
      <w:proofErr w:type="spell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на базе детского сада № 11 «Радуга»;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для детей с задержкой психического развития в специализированной группе детского сада №6 «Особый ребенок»;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с нарушениями речи или логопедическими проблемами созданы группы компенсирующей направленности в детских садах № 7 «Елочка», № 8 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«Солнышко», № 14 «Березка», № 15 «Страна чудес», № 17 «Незнайка», № 19 «Серебряные крылышки», № 22 «Планета детства».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hAnsi="Times New Roman" w:cs="Times New Roman"/>
          <w:sz w:val="28"/>
          <w:szCs w:val="28"/>
        </w:rPr>
        <w:t xml:space="preserve">Для обеспечения равного доступа к образованию для всех обучающихся с учетом разнообразия особых образовательных потребностей и индивидуальных возможностей - «инклюзивное образование» - в городе разработана нормативная правовая база, направленная на создание необходимых условий для получения качественного образования лиц с ограниченными возможностями здоровья. В 20% общеобразовательных организаций создана универсальная </w:t>
      </w:r>
      <w:proofErr w:type="spellStart"/>
      <w:r w:rsidRPr="004A648C">
        <w:rPr>
          <w:rFonts w:ascii="Times New Roman" w:hAnsi="Times New Roman" w:cs="Times New Roman"/>
          <w:sz w:val="28"/>
          <w:szCs w:val="28"/>
        </w:rPr>
        <w:t>безбарьерная</w:t>
      </w:r>
      <w:proofErr w:type="spellEnd"/>
      <w:r w:rsidRPr="004A648C">
        <w:rPr>
          <w:rFonts w:ascii="Times New Roman" w:hAnsi="Times New Roman" w:cs="Times New Roman"/>
          <w:sz w:val="28"/>
          <w:szCs w:val="28"/>
        </w:rPr>
        <w:t xml:space="preserve"> среда для организации инклюзивного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1.12. Оказывается организационная, методическая, инфраструктурная и финансовая поддержка негосударственного сектора и дополнительного дошкольного образования, что позволяет расширять спектр услуг предоставления дошкольного и дополнительного образования негосударственными организациями и увеличить общий охват услугами дошкольного и дополнительного образования детей города Ханты-Мансийска.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1.13. В образовательных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города успешно внедряется информационная система учета контингента обучающихся дошкольных, общеобразовательных организаций, совершенствуется система предоставления муниципальных услуг в электронной форме.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1.14. Осуществляется обновление содержания общего образования. 100% учащихся 1-4 классов перешли на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по федеральным государственным образовательным стандартам и обеспечены соответствующими учебниками, обновлена материально-техническая база, 100% учителей начальных классов прошли курсовую подготовку по стандартам второго поколения.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Все общеобразовательные организации города с сентября 2015 года начали обучение в пятых классах по федеральным государственным образовательным стандартам основного общего образования.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На ступени среднего общего образования функционируют 25 профильных классов разной направленности (70% учащихся 10-11 классов):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социально-гуманитарный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, филологический, информационно-технологический, химико-биологический, математико-экономический, физико-математический, оборонно-спортивный.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В 2014 году открыто новое современное муниципальное бюджетное общеобразовательное учреждение «Средняя общеобразовательная школа № 4» проектной мощностью на 800 мест.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1.15. В </w:t>
      </w:r>
      <w:proofErr w:type="gramStart"/>
      <w:r w:rsidRPr="004A648C">
        <w:rPr>
          <w:rFonts w:ascii="Times New Roman" w:eastAsia="Times New Roman" w:hAnsi="Times New Roman" w:cs="Times New Roman"/>
          <w:sz w:val="28"/>
          <w:szCs w:val="28"/>
        </w:rPr>
        <w:t>городе</w:t>
      </w:r>
      <w:proofErr w:type="gramEnd"/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проводятся мероприятия по интеграции детей с ограниченными возможностями здоровья в массовую школу, по их социальной адаптации и подготовке к самостоятельной жизни.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1.16. Значительно улучшена материально-техническая база образовательных организаций, кабинеты начальных классов оснащены в соответствии с требованиями к оснащенности учебных кабинетов в рамках введения новых федеральных государственных образовательных стандартов.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1.17. В муниципальной системе образования сохраняется существенная дифференциация образовательных организаций в обеспечении доступности и 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качества образовательных услуг. Наблюдается диспропорция между состоянием сети образовательных организаций, темпами и тенденциями территориального развития.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1.18. Увеличивающийся рост численности детского населения привел к дефициту мест в дошкольных образовательных организациях, росту числа учащихся во вторую смену, недостатку воспитателей дошкольных образовательных организаций и учителей начальных классов.</w:t>
      </w:r>
    </w:p>
    <w:p w:rsidR="009D5812" w:rsidRPr="004A648C" w:rsidRDefault="009D5812" w:rsidP="009D5812">
      <w:pPr>
        <w:pStyle w:val="ConsPlusNormal"/>
        <w:ind w:firstLine="709"/>
        <w:jc w:val="both"/>
      </w:pPr>
      <w:r w:rsidRPr="004A648C">
        <w:rPr>
          <w:rFonts w:eastAsia="Times New Roman"/>
        </w:rPr>
        <w:t>1.19. В течение пяти лет планируется увеличение</w:t>
      </w:r>
      <w:r w:rsidRPr="004A648C">
        <w:t xml:space="preserve"> численности обучающихся в общеобразовательных организациях с 11023 человек в 2015 году до 13207 человек в 2020 году, в том числе планируется увеличение первоклассников.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Таблица 1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Изменения численности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общеобразовательных организаций</w:t>
      </w: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1323"/>
        <w:gridCol w:w="1276"/>
        <w:gridCol w:w="1418"/>
        <w:gridCol w:w="1417"/>
        <w:gridCol w:w="1559"/>
      </w:tblGrid>
      <w:tr w:rsidR="009D5812" w:rsidRPr="004A648C" w:rsidTr="00A364A5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</w:pPr>
            <w:r w:rsidRPr="004A648C">
              <w:rPr>
                <w:rFonts w:ascii="Times New Roman" w:eastAsia="Times New Roman" w:hAnsi="Times New Roman" w:cs="Times New Roman"/>
              </w:rPr>
              <w:t>Показатель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2020 год</w:t>
            </w:r>
          </w:p>
        </w:tc>
      </w:tr>
      <w:tr w:rsidR="009D5812" w:rsidRPr="004A648C" w:rsidTr="00A364A5"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</w:pPr>
            <w:r w:rsidRPr="004A648C">
              <w:rPr>
                <w:rFonts w:ascii="Times New Roman" w:eastAsia="Times New Roman" w:hAnsi="Times New Roman" w:cs="Times New Roman"/>
              </w:rPr>
              <w:t>Количество обучающихся в общеобразовательных организациях (чел.)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12719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13011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13011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13011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</w:rPr>
              <w:t>13207</w:t>
            </w:r>
          </w:p>
        </w:tc>
      </w:tr>
    </w:tbl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ConsPlusNormal"/>
        <w:ind w:firstLine="540"/>
        <w:jc w:val="both"/>
      </w:pPr>
      <w:r w:rsidRPr="004A648C">
        <w:rPr>
          <w:rFonts w:eastAsia="Times New Roman"/>
        </w:rPr>
        <w:t>1.20. У</w:t>
      </w:r>
      <w:r w:rsidRPr="004A648C">
        <w:t>величение численности обучающихся общеобразовательных организаций ведёт к увеличению учащихся по уровням образования.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Таблица 2</w:t>
      </w: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Изменение численности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общеобразовательных организаций по уровням образования</w:t>
      </w:r>
    </w:p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513"/>
        <w:gridCol w:w="513"/>
        <w:gridCol w:w="504"/>
        <w:gridCol w:w="513"/>
        <w:gridCol w:w="514"/>
        <w:gridCol w:w="505"/>
        <w:gridCol w:w="514"/>
        <w:gridCol w:w="514"/>
        <w:gridCol w:w="505"/>
        <w:gridCol w:w="514"/>
        <w:gridCol w:w="514"/>
        <w:gridCol w:w="505"/>
        <w:gridCol w:w="484"/>
        <w:gridCol w:w="484"/>
        <w:gridCol w:w="484"/>
      </w:tblGrid>
      <w:tr w:rsidR="009D5812" w:rsidRPr="004A648C" w:rsidTr="00A364A5">
        <w:trPr>
          <w:trHeight w:val="1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648C">
              <w:rPr>
                <w:rFonts w:ascii="Times New Roman" w:eastAsia="Times New Roman" w:hAnsi="Times New Roman" w:cs="Times New Roman"/>
              </w:rPr>
              <w:t>Показатель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48C">
              <w:rPr>
                <w:rFonts w:ascii="Times New Roman" w:eastAsia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48C">
              <w:rPr>
                <w:rFonts w:ascii="Times New Roman" w:eastAsia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48C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48C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4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48C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9D5812" w:rsidRPr="004A648C" w:rsidTr="00A364A5">
        <w:trPr>
          <w:trHeight w:val="1"/>
        </w:trPr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648C">
              <w:rPr>
                <w:rFonts w:ascii="Times New Roman" w:eastAsia="Times New Roman" w:hAnsi="Times New Roman" w:cs="Times New Roman"/>
              </w:rPr>
              <w:t>Количество обучающихся в общеобразовательных организациях (чел.)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НОО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ООО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НОО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ООО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НОО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ООО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НОО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ООО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НОО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ООО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</w:p>
        </w:tc>
      </w:tr>
      <w:tr w:rsidR="009D5812" w:rsidRPr="004A648C" w:rsidTr="00A364A5">
        <w:trPr>
          <w:trHeight w:val="1"/>
        </w:trPr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5533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6168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1018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5660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6232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1119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5660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6232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1119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5660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6232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1119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5830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6087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648C">
              <w:rPr>
                <w:rFonts w:ascii="Times New Roman" w:hAnsi="Times New Roman" w:cs="Times New Roman"/>
                <w:sz w:val="16"/>
                <w:szCs w:val="16"/>
              </w:rPr>
              <w:t>1290</w:t>
            </w:r>
          </w:p>
        </w:tc>
      </w:tr>
    </w:tbl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1.21. Кадровый состав системы образования нуждается в обновлении и масштабной профессиональной переподготовке в связи с введением федеральных государственных образовательных стандартов второго поколения. Сохраняется большое число учителей пенсионного возраста, слабый приток в образовательные организации молодых специалистов, не происходит обновления кадрового ресурса. Особенно острым является дефицит компетентных управленческих кадров - менеджеров в сфере образования, готовых успешно действовать в новых условиях финансово-хозяйственной деятельности. Сохранение и развитие кадрового потенциала муниципальной системы образования является важной задачей данной программы.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1.22. Показатель очередности на устройство в дошкольные образовательные организации имеет незначительную динамику в сторону уменьшения, несмотря на ввод в действие детских садов. Увеличение количества мест в дошкольных образовательных организациях муниципальной системы образования за счет ввода в действие новых детских садов не соответствует реальной численности детского населения в связи с прогнозируемым увеличением численности населения за счет естественного и миграционного прироста.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Существует необходимость ввода в эксплуатацию дополнительных объектов дошкольного образования, с целью обеспечения потребности в обеспечении дошкольной образовательной услугой населения, с учетом демографического роста.  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Таблица 4</w:t>
      </w: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Очередь в дошкольные образовательные организации</w:t>
      </w:r>
    </w:p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(прогноз)</w:t>
      </w:r>
    </w:p>
    <w:tbl>
      <w:tblPr>
        <w:tblW w:w="0" w:type="auto"/>
        <w:jc w:val="center"/>
        <w:tblInd w:w="-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7"/>
        <w:gridCol w:w="1418"/>
        <w:gridCol w:w="1168"/>
        <w:gridCol w:w="1100"/>
        <w:gridCol w:w="1134"/>
        <w:gridCol w:w="1276"/>
      </w:tblGrid>
      <w:tr w:rsidR="009D5812" w:rsidRPr="004A648C" w:rsidTr="00A364A5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9D5812" w:rsidRPr="004A648C" w:rsidTr="00A364A5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1 до 6 лет, ожидающих предоставления места в дошкольной организации (чел.)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3806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3527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</w:tr>
    </w:tbl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Таблица 5</w:t>
      </w: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Количество детей от 1 до 6 лет в городе Ханты-Мансийске</w:t>
      </w:r>
    </w:p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(прогноз)</w:t>
      </w: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276"/>
        <w:gridCol w:w="1275"/>
        <w:gridCol w:w="1276"/>
      </w:tblGrid>
      <w:tr w:rsidR="009D5812" w:rsidRPr="004A648C" w:rsidTr="00A364A5">
        <w:trPr>
          <w:trHeight w:val="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9D5812" w:rsidRPr="004A648C" w:rsidTr="00A364A5">
        <w:trPr>
          <w:trHeight w:val="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1 до 6 лет, проживающих на территории города (чел.)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10802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11160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9D5812" w:rsidRPr="004A648C" w:rsidRDefault="009D5812" w:rsidP="00A364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Pr="004A648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Таблица 6</w:t>
      </w: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648C">
        <w:rPr>
          <w:rFonts w:ascii="Times New Roman" w:eastAsia="Times New Roman" w:hAnsi="Times New Roman" w:cs="Times New Roman"/>
          <w:sz w:val="28"/>
          <w:szCs w:val="28"/>
        </w:rPr>
        <w:t>Количество детей, посещающих дошкольные образовательные организации (прогноз)</w:t>
      </w:r>
    </w:p>
    <w:tbl>
      <w:tblPr>
        <w:tblW w:w="0" w:type="auto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8"/>
        <w:gridCol w:w="1351"/>
        <w:gridCol w:w="1418"/>
        <w:gridCol w:w="1276"/>
        <w:gridCol w:w="1275"/>
        <w:gridCol w:w="1276"/>
      </w:tblGrid>
      <w:tr w:rsidR="009D5812" w:rsidRPr="004A648C" w:rsidTr="00A364A5">
        <w:trPr>
          <w:trHeight w:val="1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9D5812" w:rsidRPr="004A648C" w:rsidTr="00A364A5">
        <w:trPr>
          <w:trHeight w:val="1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детей, посещающих дошкольные образовательные организации (чел.)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6996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7633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jc w:val="center"/>
              <w:rPr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7633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jc w:val="center"/>
              <w:rPr>
                <w:sz w:val="24"/>
                <w:szCs w:val="24"/>
                <w:lang w:val="en-US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8885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jc w:val="center"/>
              <w:rPr>
                <w:sz w:val="24"/>
                <w:szCs w:val="24"/>
                <w:lang w:val="en-US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9185</w:t>
            </w:r>
          </w:p>
        </w:tc>
      </w:tr>
    </w:tbl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1.23. Результаты анализа свидетельствуют о наличии определенных проблем в достижении качества общего и дополнительного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1.24. Особого внимания требует ситуация, связанная с обеспечением успешной социализации детей с ограниченными возможностями здоровья и детей-инвалидов. В последние годы наблюдается тенденция к увеличению количества детей данной категории. Без комплексного программного подхода данная проблема не может быть решена. В ходе реализации программы будут выполнены мероприятия по социализации детей с ограниченными возможностями здоровья, введению инклюзивного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1.25. Дальнейшее развитие наметившейся в последние годы позитивной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тенденции восстановления ответственности системы образования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за духовно-нравственное воспитание подрастающего поколения, формирование гражданской идентичности и национального самосознания, зависит от обеспеченности образовательных организаций высококвалифицированными специалистами. Однако в результате оптимизации штатной численности в образовательных организациях произошло сокращение ставок высококвалифицированных специалистов по воспитательной работе. Имеет место незавершенность процессов, обеспечивающих повышение воспитательного потенциала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1.26. В муниципальной системе образования еще недостаточно сформирована система целенаправленной работы с одаренными детьми и талантливой молодежью на уровне каждой образовательной организации. Необходимо совершенствовать как систему поддержки талантливых школьников, так и общую среду для проявления и развития способностей каждого ребенка, стимулирования и выявления достижений одаренных детей.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1.27. Данная программа разработана на основе программно-целевого метода и представляет собой комплекс различных мероприятий, направленных на достижение конкретной цели и решение задач, стоящих перед муниципальной системой образования в 2016 - 2020 годах.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Использование программно-целевого метода связано с определенными рисками. Среди наиболее опасных рисков можно назвать риск сокращения финансирования программы в процессе ее реализации, а также риск неэффективного управления программой.</w:t>
      </w: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Цели, задачи и показатели их достижения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2.1.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 xml:space="preserve">С учетом специфики сферы образования задачи по достижению цели программы распределены как по уровням образования с учетом того, что на различных уровнях образования выделяются свои приоритеты, отвечающие насущным проблемам и долгосрочным вызовам, так и по наиболее актуальным и перспективным направлениям муниципальной политики и эффективно дополняют положения </w:t>
      </w:r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hyperlink r:id="rId14">
        <w:r w:rsidRPr="004A648C">
          <w:rPr>
            <w:rFonts w:ascii="Times New Roman" w:eastAsia="Times New Roman" w:hAnsi="Times New Roman" w:cs="Times New Roman"/>
            <w:sz w:val="28"/>
            <w:szCs w:val="28"/>
          </w:rPr>
          <w:t>программы</w:t>
        </w:r>
      </w:hyperlink>
      <w:r w:rsidRPr="004A648C">
        <w:rPr>
          <w:rFonts w:ascii="Times New Roman" w:eastAsia="Times New Roman" w:hAnsi="Times New Roman" w:cs="Times New Roman"/>
          <w:sz w:val="28"/>
          <w:szCs w:val="28"/>
        </w:rPr>
        <w:t xml:space="preserve"> Ханты</w:t>
      </w:r>
      <w:r w:rsidRPr="004A648C">
        <w:rPr>
          <w:rFonts w:ascii="Times New Roman" w:eastAsia="Times New Roman" w:hAnsi="Times New Roman" w:cs="Times New Roman"/>
          <w:sz w:val="28"/>
        </w:rPr>
        <w:t>-Мансийского автономного округа - Югры «Развитие образования в Ханты-Мансийском автономном округе - Югре на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2014 - 2020 годы», утвержденной постановлением Правительства Ханты-Мансийского автономного округа – Югры от 09.10.2013 № 413-п.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2.2. Цель программы - обеспечение доступности качественного образования, соответствующего современным потребностям инновационного развития экономики муниципального образования, современным потребностям общества и каждого жителя города Ханты-Мансийска.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2.3. На реализацию данной цели направлены четыре подпрограммы: подпрограмма I «Общее образование. Дополнительное образование детей»; подпрограмма II «Система оценки качества образования и информационная прозрачность системы образования»; подпрограмма III «Допризывная подготовка обучающихся»; подпрограмма IV «Ресурсное обеспечение системы образования».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2.3.1. Подпрограмма I «Общее образование. Дополнительное образование детей»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направлена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на достижение следующих задач: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 обеспечение условий для развития системы выявления, поддержки и сопровождения одаренных детей, развития индивидуальных способностей, личностных качеств, творческого потенциала детей;</w:t>
      </w:r>
    </w:p>
    <w:p w:rsidR="009D5812" w:rsidRPr="004A648C" w:rsidRDefault="009D5812" w:rsidP="009D581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2) создание системных механизмов сохранения и укрепления здоровья детей в организациях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3)</w:t>
      </w:r>
      <w:r w:rsidRPr="004A648C">
        <w:t> </w:t>
      </w:r>
      <w:r w:rsidRPr="004A648C">
        <w:rPr>
          <w:rFonts w:ascii="Times New Roman" w:eastAsia="Times New Roman" w:hAnsi="Times New Roman" w:cs="Times New Roman"/>
          <w:sz w:val="28"/>
        </w:rPr>
        <w:t>модернизация системы подготовки, переподготовки и повышения квалификации педагогов и руководителей 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4) оснащение материально-технической базы образовательных организаций в соответствии с современными требованиями;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5) развитие системы дополнительного образования детей;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6) поддержка системы воспитания и обучения детей, посещающих образовательные организации, реализующие образовательную программу дошкольного образования.</w:t>
      </w: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2.3.2. Подпрограмма II «Система оценки качества образования и информационная прозрачность системы образования» направлена на достижение задачи:</w:t>
      </w:r>
    </w:p>
    <w:p w:rsidR="009D5812" w:rsidRDefault="009D5812" w:rsidP="009D581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 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обучающегося.</w:t>
      </w:r>
    </w:p>
    <w:p w:rsidR="009D5812" w:rsidRPr="004A648C" w:rsidRDefault="009D5812" w:rsidP="009D581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2.3.3. 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Подпрограмма III «Допризывная подготовка обучающихся» направлена  на достижение следующих задач:</w:t>
      </w:r>
      <w:proofErr w:type="gramEnd"/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 вовлечение обучающихся в социальную активную деятельность, развитие детских и юношеских объединений;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2) создание условий для развития гражданских, военно-патриотических качеств обучающихся;</w:t>
      </w:r>
    </w:p>
    <w:p w:rsidR="009D5812" w:rsidRDefault="009D5812" w:rsidP="009D5812">
      <w:pPr>
        <w:spacing w:after="0" w:line="240" w:lineRule="auto"/>
        <w:ind w:firstLine="709"/>
        <w:jc w:val="both"/>
      </w:pPr>
      <w:proofErr w:type="gramStart"/>
      <w:r w:rsidRPr="004A648C">
        <w:rPr>
          <w:rFonts w:ascii="Times New Roman" w:eastAsia="Times New Roman" w:hAnsi="Times New Roman" w:cs="Times New Roman"/>
          <w:sz w:val="28"/>
        </w:rPr>
        <w:t>3) оказание психологической помощи обучающимся, оказавшимся в трудной жизненной ситуации.</w:t>
      </w:r>
      <w:r w:rsidRPr="004A648C">
        <w:t xml:space="preserve"> </w:t>
      </w:r>
      <w:proofErr w:type="gramEnd"/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2.3.4. Подпрограмма IV «Ресурсное обеспечение системы образования» направлена на достижение следующих задач: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 повышение качества управления в системе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 xml:space="preserve">2) повышение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качества финансового обеспечения полномочий органов местного самоуправления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в сфере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3) обеспечение комплексной безопасности 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4) развитие инфраструктуры общего и дополнительного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2.4. В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результате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реализации муниципальной программы прогнозируются следующие изменения в сфере образования города Ханты-Мансийска: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2.4.1 Подпрограмма I «Общее образование. Дополнительное образование детей»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>1) Ежегодное увеличение доли обучающихся 7 - 11 классов, принявших участие в муниципальном этапе Всероссийской олимпиады школьников, которая должна составить к 2020 году не менее 36% от общей численности обучающихся.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2) Увеличение к 2020 году количества объектов общеобразовательных организаций до 10.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3) Увеличение детей в возрасте от 6 до 17 лет, охваченных отдыхом и оздоровлением в лагерях вне города Ханты-Мансийска, к 2020 году с 988 до 1300 человек в год.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4) Увеличение детей в возрасте от 6 до 17 лет, охваченных отдыхом и оздоровлением в лагерях с дневным пребыванием детей, с 4320 до 6300 человек в год.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5) Увеличение отношения среднемесячной заработной платы педагогических работников общеобразовательных организаций к среднемесячной заработной по Ханты-Мансийскому автономному округу - Югре с 99% до 100%.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6) Увеличение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с 99% до 100%.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7) Увеличение доли детей, охваченных дополнительными общеобразовательными программами, в общей численности воспитанников и обучающихся муниципальных образовательных организаций в возрасте 5-18 лет с 53,3 % до 97,0 %.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8)   Соблюдение доли административно-управленческого и педагогического персонала общеобразовательных организаций, подготовленных для работы в соответствии с требованиями федеральных государственных стандартов, в общей численности административно-управленческого и педагогического персонала общеобразовательных организаций на уровне 20%.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4A648C">
        <w:rPr>
          <w:rFonts w:ascii="Times New Roman" w:eastAsia="Calibri" w:hAnsi="Times New Roman" w:cs="Times New Roman"/>
          <w:sz w:val="28"/>
          <w:szCs w:val="28"/>
        </w:rPr>
        <w:t xml:space="preserve">) Доля обучающихся в муниципальных общеобразовательных организациях, занимающихся в первую смену, в общей </w:t>
      </w:r>
      <w:proofErr w:type="gramStart"/>
      <w:r w:rsidRPr="004A648C">
        <w:rPr>
          <w:rFonts w:ascii="Times New Roman" w:eastAsia="Calibri" w:hAnsi="Times New Roman" w:cs="Times New Roman"/>
          <w:sz w:val="28"/>
          <w:szCs w:val="28"/>
        </w:rPr>
        <w:t>численности</w:t>
      </w:r>
      <w:proofErr w:type="gramEnd"/>
      <w:r w:rsidRPr="004A648C">
        <w:rPr>
          <w:rFonts w:ascii="Times New Roman" w:eastAsia="Calibri" w:hAnsi="Times New Roman" w:cs="Times New Roman"/>
          <w:sz w:val="28"/>
          <w:szCs w:val="28"/>
        </w:rPr>
        <w:t xml:space="preserve"> обучающихся в муниципальных общеобразовательных организациях увеличится с 57,1% до 71%.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4A648C">
        <w:rPr>
          <w:rFonts w:ascii="Times New Roman" w:eastAsia="Calibri" w:hAnsi="Times New Roman" w:cs="Times New Roman"/>
          <w:sz w:val="28"/>
          <w:szCs w:val="28"/>
        </w:rPr>
        <w:t>) Доля выпускников муниципальных 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предметам, составит 100%.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11</w:t>
      </w:r>
      <w:r w:rsidRPr="004A648C">
        <w:rPr>
          <w:rFonts w:ascii="Times New Roman" w:eastAsia="Times New Roman" w:hAnsi="Times New Roman" w:cs="Times New Roman"/>
          <w:sz w:val="28"/>
        </w:rPr>
        <w:t>) 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составит 100%.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12</w:t>
      </w:r>
      <w:r w:rsidRPr="004A648C">
        <w:rPr>
          <w:rFonts w:ascii="Times New Roman" w:eastAsia="Times New Roman" w:hAnsi="Times New Roman" w:cs="Times New Roman"/>
          <w:sz w:val="28"/>
        </w:rPr>
        <w:t>) Уменьшение доли детей в возрасте от 1-6 лет, состоящих на учете для определения в муниципальную дошкольную образовательную организацию в общей численности детей 1-6 лет с 38,0% до 22,1%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13</w:t>
      </w:r>
      <w:r w:rsidRPr="004A648C">
        <w:rPr>
          <w:rFonts w:ascii="Times New Roman" w:eastAsia="Times New Roman" w:hAnsi="Times New Roman" w:cs="Times New Roman"/>
          <w:sz w:val="28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>Увеличение</w:t>
      </w:r>
      <w:r w:rsidRPr="004A648C">
        <w:rPr>
          <w:rFonts w:ascii="Times New Roman" w:eastAsia="Times New Roman" w:hAnsi="Times New Roman" w:cs="Times New Roman"/>
          <w:sz w:val="28"/>
        </w:rPr>
        <w:t xml:space="preserve"> обеспеченности детей дошкольного возраста местами в дошкольных образовательных организациях с 593 до 779 мест на 1000 детей.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14</w:t>
      </w:r>
      <w:r w:rsidRPr="004A648C">
        <w:rPr>
          <w:rFonts w:ascii="Times New Roman" w:eastAsia="Times New Roman" w:hAnsi="Times New Roman" w:cs="Times New Roman"/>
          <w:sz w:val="28"/>
        </w:rPr>
        <w:t>)Увеличение доли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1-6 лет с 59,3% до 77,9%.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5</w:t>
      </w:r>
      <w:r w:rsidRPr="004A648C">
        <w:rPr>
          <w:rFonts w:ascii="Times New Roman" w:eastAsia="Times New Roman" w:hAnsi="Times New Roman" w:cs="Times New Roman"/>
          <w:sz w:val="28"/>
        </w:rPr>
        <w:t>) Доля детей дошкольного возраста от 3-7 лет обеспеченных дошкольным образованием сохранится на уровне 100%.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6</w:t>
      </w:r>
      <w:r w:rsidRPr="004A648C">
        <w:rPr>
          <w:rFonts w:ascii="Times New Roman" w:eastAsia="Times New Roman" w:hAnsi="Times New Roman" w:cs="Times New Roman"/>
          <w:sz w:val="28"/>
        </w:rPr>
        <w:t>) Доля населения в возрасте 7-18 лет, охваченная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7-18 лет - 99,9 %.</w:t>
      </w: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2.4.2. Подпрограмма II «Система оценки качества образования, информационная прозрачность системы образования»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>1) Итогом реализации подпрограммы станет обеспечение доступности полной и объективной информации для граждан, об образовательных организациях, содержании и качестве их программ (услуг), эффективной обратной связи с образовательными организациями предоставляющих услуги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4A648C">
        <w:rPr>
          <w:rFonts w:ascii="Times New Roman" w:eastAsia="Calibri" w:hAnsi="Times New Roman" w:cs="Times New Roman"/>
          <w:sz w:val="28"/>
          <w:szCs w:val="28"/>
        </w:rPr>
        <w:t xml:space="preserve"> органом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Ханты-Мансийска</w:t>
      </w:r>
      <w:r w:rsidRPr="004A648C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648C">
        <w:rPr>
          <w:rFonts w:ascii="Times New Roman" w:eastAsia="Calibri" w:hAnsi="Times New Roman" w:cs="Times New Roman"/>
          <w:sz w:val="28"/>
          <w:szCs w:val="28"/>
        </w:rPr>
        <w:t xml:space="preserve"> осуществляющим управление в сфере образования.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>2) Увеличение образовательных организаций, в которых будут сформированы</w:t>
      </w:r>
      <w:r w:rsidRPr="004A648C">
        <w:rPr>
          <w:rFonts w:ascii="Times New Roman" w:hAnsi="Times New Roman" w:cs="Times New Roman"/>
          <w:sz w:val="28"/>
          <w:szCs w:val="28"/>
        </w:rPr>
        <w:t xml:space="preserve"> общественные советы по проведению независимой оценки качества образовательной деятельности организаций.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>3) Увеличение доли общеобразовательных организаций, реализующих мониторинг индивидуальных достижений учащихся с 13% до 22 %.</w:t>
      </w:r>
    </w:p>
    <w:p w:rsidR="009D5812" w:rsidRPr="004A648C" w:rsidRDefault="009D5812" w:rsidP="009D58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 xml:space="preserve">4) Увеличение доли граждан использующих механизм получения муниципальных услуг в сфере образования в электронной форме до 70%. </w:t>
      </w:r>
    </w:p>
    <w:p w:rsidR="009D5812" w:rsidRPr="004A648C" w:rsidRDefault="009D5812" w:rsidP="009D58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eastAsia="Calibri" w:hAnsi="Times New Roman" w:cs="Times New Roman"/>
          <w:sz w:val="28"/>
          <w:szCs w:val="28"/>
        </w:rPr>
        <w:t>В электронной форме граждане смогут получать следующие муниципальные услуги:</w:t>
      </w:r>
    </w:p>
    <w:p w:rsidR="009D5812" w:rsidRPr="004A648C" w:rsidRDefault="009D5812" w:rsidP="009D58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48C">
        <w:rPr>
          <w:rFonts w:ascii="Times New Roman" w:hAnsi="Times New Roman" w:cs="Times New Roman"/>
          <w:sz w:val="28"/>
          <w:szCs w:val="28"/>
        </w:rPr>
        <w:t>предоставление информации о текущей успеваемости учащегося, ведения электронного дневника и электронного журнала успеваемости;</w:t>
      </w:r>
    </w:p>
    <w:p w:rsidR="009D5812" w:rsidRPr="004A648C" w:rsidRDefault="009D5812" w:rsidP="009D581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48C">
        <w:rPr>
          <w:rFonts w:ascii="Times New Roman" w:hAnsi="Times New Roman" w:cs="Times New Roman"/>
          <w:sz w:val="28"/>
          <w:szCs w:val="28"/>
        </w:rPr>
        <w:t>предоставление информации об образовательных программах и учебных планах, рабочих программах учебных курсов, предметов, дисциплин (модулей), календарных учебных графиках;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48C">
        <w:rPr>
          <w:rFonts w:ascii="Times New Roman" w:hAnsi="Times New Roman" w:cs="Times New Roman"/>
          <w:sz w:val="28"/>
          <w:szCs w:val="28"/>
        </w:rPr>
        <w:t>зачисление в образовательную организацию;</w:t>
      </w:r>
    </w:p>
    <w:p w:rsidR="009D5812" w:rsidRPr="004A648C" w:rsidRDefault="009D5812" w:rsidP="009D5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648C">
        <w:rPr>
          <w:rFonts w:ascii="Times New Roman" w:hAnsi="Times New Roman" w:cs="Times New Roman"/>
          <w:sz w:val="28"/>
          <w:szCs w:val="28"/>
        </w:rPr>
        <w:lastRenderedPageBreak/>
        <w:t>прием заявлений, 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сады).</w:t>
      </w:r>
    </w:p>
    <w:p w:rsidR="009D5812" w:rsidRPr="004A648C" w:rsidRDefault="009D5812" w:rsidP="009D58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2.4.3. Подпрограмма III «Допризывная подготовка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>»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 Реализация мероприятий допризывной подготовки обучающихся окажет непосредственное влияние на состояние в сопряженных сферах и будет способствовать созданию условий, влияющих на снижение числа преступлений, совершенных несовершеннолетними или при их участии, развитию интернационального и патриотического воспитания граждан, распространению практики добровольчества как важнейшего направления «гражданского образования».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2) Увеличение доли детей 5-18 лет, вовлеченных в детские и юношеские общественные объединения, состоящих в патриотических клубах, центрах, организациях и вовлеченных в мероприятия патриотической направленности, занимающихся военно-прикладными и техническими видами спорта, в общей численности обучающихся данного возраста с 40% до 59%.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3) Увеличение доли молодых людей в возрасте от 14-18 лет, участвующих в деятельности детских и юношеских общественных объединений, в общей численности обучающихся данного возраста с 30% до 48%.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4) Увеличение доли молодых людей в возрасте 5-18 лет, занимающихся военно-прикладными и техническими видами спорта, в общей численности обучающихся данного возраста с 25% до 48%.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2.4.4. Подпрограмма IV «Ресурсное обеспечение системы образования»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1) Принятие мер по повышению качества управления, финансовому обеспечению, обеспечению комплексной безопасности и комфортных условий образовательного процесса, развитие инфраструктуры общего и дополнительного образования в системе образования позволит повысить качество предоставления муниципальных услуг в сфере образования населению города Ханты-Мансийска.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2) Уменьшение доли муниципальных образовательных организаций,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с 2% до 0%.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3) Сокращение времени ожидания в очереди при обращении заявителя в орган местного самоуправления для получения муниципальных услуг в сфере образования с 20 до 14 мин.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4A648C">
        <w:rPr>
          <w:rFonts w:ascii="Times New Roman" w:eastAsia="Times New Roman" w:hAnsi="Times New Roman" w:cs="Times New Roman"/>
          <w:sz w:val="28"/>
        </w:rPr>
        <w:t>4) Увеличение доли муниципальных образовательных организаций, в полной мере обеспечивших создание</w:t>
      </w:r>
      <w:r w:rsidRPr="004A648C">
        <w:rPr>
          <w:rFonts w:ascii="Times New Roman" w:hAnsi="Times New Roman" w:cs="Times New Roman"/>
          <w:sz w:val="28"/>
          <w:szCs w:val="28"/>
        </w:rPr>
        <w:t xml:space="preserve"> безопасных условий обучения, воспитания обучающихся, присмотра и ухода за обучающимися, их содержания в соответствии с установленными нормами, обеспечивающими жизнь и здоровье обучающихся, работников образовательной организации</w:t>
      </w:r>
      <w:r w:rsidRPr="004A648C">
        <w:rPr>
          <w:rFonts w:ascii="Times New Roman" w:eastAsia="Times New Roman" w:hAnsi="Times New Roman" w:cs="Times New Roman"/>
          <w:sz w:val="28"/>
        </w:rPr>
        <w:t xml:space="preserve"> с 75% до 100%.</w:t>
      </w:r>
      <w:proofErr w:type="gramEnd"/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2.5. Значения целевых показателей и ожидаемых результатов муниципальной программы в разбивке по годам указаны в приложении 1 к настоящей программе.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Характеристика основных мероприятий программы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3.1. Для достижения поставленных целей и задач определены следующие основные мероприятия: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3.2. Подпрограмма I «Общее образование. Дополнительное образование детей».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3.2.1. Развитие системы дошкольного и общего образования: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</w:t>
      </w:r>
      <w:r w:rsidRPr="004A648C">
        <w:rPr>
          <w:rFonts w:ascii="Times New Roman" w:eastAsia="Times New Roman" w:hAnsi="Times New Roman" w:cs="Times New Roman"/>
          <w:sz w:val="28"/>
        </w:rPr>
        <w:t>ормирование современной структуры сети дошкольного и общего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4A648C">
        <w:rPr>
          <w:rFonts w:ascii="Times New Roman" w:eastAsia="Times New Roman" w:hAnsi="Times New Roman" w:cs="Times New Roman"/>
          <w:sz w:val="28"/>
        </w:rPr>
        <w:t>ыявление и поддержка талантливых воспитанников и обучающихся 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3.2.2. Развитие системы дополнительного образования детей. Организация летнего отдыха и оздоровления: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и проведение мероприятий по развитию одаренных детей, лидеров (олимпиады, конкурсы, форумы, профильные смены, учебно-тренировочные сборы и др.);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роведение мероприятий конкурсной направленности (культура, спорт, искусство, техническое творчество, социальные проекты);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4A648C">
        <w:rPr>
          <w:rFonts w:ascii="Times New Roman" w:eastAsia="Times New Roman" w:hAnsi="Times New Roman" w:cs="Times New Roman"/>
          <w:sz w:val="28"/>
        </w:rPr>
        <w:t>азвитие технического творчества обучающихся, организация деятельности школьных технопарков, приобретение робототехники;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питания детей в оздоровительных лагерях с дневным пребыванием детей, оздоровительных сменах, организованных на базе образовательных организаций города;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отдыха и оздоровления детей вне города Ханты-Мансийска;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детских оздоровительных лагерей дневного пребывания на базе образовательных организаций города;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 xml:space="preserve">рганизация профильных и тематических смен различной направленности;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роведение обучающих семинаров и совещаний организаторов оздоровления, отдыха, занятости детей, подростков города, поддержка волонтерского движения;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4A648C">
        <w:rPr>
          <w:rFonts w:ascii="Times New Roman" w:eastAsia="Times New Roman" w:hAnsi="Times New Roman" w:cs="Times New Roman"/>
          <w:sz w:val="28"/>
        </w:rPr>
        <w:t>азвитие кадрового потенциала;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риобретение учебного и учебн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производственного оборудования;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Pr="004A648C">
        <w:rPr>
          <w:rFonts w:ascii="Times New Roman" w:eastAsia="Times New Roman" w:hAnsi="Times New Roman" w:cs="Times New Roman"/>
          <w:sz w:val="28"/>
        </w:rPr>
        <w:t>аучно-методическое сопровождение развития дополнительного и общего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3.2.3. Обеспечение реализации основных общеобразовательных программ в образовательных организациях, расположенных на территории города Ханты-Мансийска: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обеспечение реализации основных общеобразовательных программ в организациях, осуществляющих образовательную деятельность по программам дошкольного образования, начального общего, основного общего, среднего общего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обеспечение реализации дошкольными образовательными организациями основных общеобразовательных программ дошкольного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реализация дополнительных общеобразовательных программ дополнительного образования в организациях дополнительного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информационное обеспечение образовательных организаций в части доступа к образовательным ресурсам сети Интернет;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организация питания в общеобразовательных организациях;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развитие кадрового потенциала;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возмещение затрат частным дошкольным образовательным организациям, осуществляющих образовательную деятельность по реализации основных общеобразовательных программ дошкольного образования, расположенных на территории города Ханты-Мансийска;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выплаты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3.3. Подпрограмма II «Система оценки качества образования и информационная прозрачность системы образования».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3.3.1. 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4A648C">
        <w:rPr>
          <w:rFonts w:ascii="Times New Roman" w:eastAsia="Times New Roman" w:hAnsi="Times New Roman" w:cs="Times New Roman"/>
          <w:sz w:val="28"/>
        </w:rPr>
        <w:t>азвитие системы оценки качества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роведение независимой государственной итоговой аттестации выпускников общеобразовательных организаций, и других процедур оценки качества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4A648C">
        <w:rPr>
          <w:rFonts w:ascii="Times New Roman" w:eastAsia="Times New Roman" w:hAnsi="Times New Roman" w:cs="Times New Roman"/>
          <w:sz w:val="28"/>
        </w:rPr>
        <w:t>недрение системы мониторинга индивидуальных достижений учащихся общеобразовательных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4A648C">
        <w:rPr>
          <w:rFonts w:ascii="Times New Roman" w:eastAsia="Times New Roman" w:hAnsi="Times New Roman" w:cs="Times New Roman"/>
          <w:sz w:val="28"/>
        </w:rPr>
        <w:t>недрение новых моделей аттестации педагогических и управленческих кадров;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роведение аттестации педагогических работников, в том числе обновление программного обеспечения процедур аттестации;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и проведение публичных мероприятий, в том числе выставки, форумы, конкурсы;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свещение реализации образовательной политики и системы образования города в средствах массовой информации, публикация полученных результатов деятельности образовательных организаций и органа управления образованием.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3.4. Подпрограмма III «Допризывная подготовка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>».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3.4.1. Поддержка детских и юношеских общественных организаций и объединений: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</w:t>
      </w:r>
      <w:r w:rsidRPr="004A648C">
        <w:rPr>
          <w:rFonts w:ascii="Times New Roman" w:eastAsia="Times New Roman" w:hAnsi="Times New Roman" w:cs="Times New Roman"/>
          <w:sz w:val="28"/>
        </w:rPr>
        <w:t xml:space="preserve">рганизация и проведение лидерских смен в рамках лагерей дневного пребывания;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 xml:space="preserve">оддержка и обеспечение деятельности городских юношеских общественных объединений;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>частие делегаций общественных организаций города в слетах, фестивалях, форумах, конференциях, конкурсах окружного и федерального уровней;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оддержка социально значимых проектов и программ по вовлечению обучающихся в жизнь общества;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 xml:space="preserve">оддержка волонтерского, добровольческого движения среди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>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3.4.2. Создание условий для развития гражданск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>, военно-патриотических качеств обучающихся: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 xml:space="preserve">частие к конкурсе на лучшую подготовку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к военной службе;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 xml:space="preserve">рганизация и проведение мероприятий по патриотическому воспитанию и допризывной подготовке обучающихся;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одготовка кадров в области патриотического воспитания и допризывной подготовки обучающихся;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рганизация работы по развитию технических видов спорта, технического творчества обучающихся;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оддержка подростковых поисковых отрядов, созданных на базе образовательных организаций города Ханты-Мансийска;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>частие в мероприятиях по патриотическому воспитанию и допризывной подготовке обучающихся регионального, всероссийского и международного уровня;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</w:t>
      </w:r>
      <w:r w:rsidRPr="004A648C">
        <w:rPr>
          <w:rFonts w:ascii="Times New Roman" w:eastAsia="Times New Roman" w:hAnsi="Times New Roman" w:cs="Times New Roman"/>
          <w:sz w:val="28"/>
        </w:rPr>
        <w:t xml:space="preserve">нформационно-методическое обеспечение в области патриотического воспитания и допризывной подготовки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>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4A648C">
        <w:rPr>
          <w:rFonts w:ascii="Times New Roman" w:eastAsia="Times New Roman" w:hAnsi="Times New Roman" w:cs="Times New Roman"/>
          <w:sz w:val="28"/>
        </w:rPr>
        <w:t>оддержка и развитие кадетских классов (конкурная деятельность, развитие материально-технической базы профильных классов).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3.4.3.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Оказание психологической помощи обучающимся, оказавшимся в трудной жизненной ситуации.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Профилактика детского дорожно-транспортного травматизма: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>частие во всероссийских, межрегиональных и окружных мероприятиях профилактической направленности;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Pr="004A648C">
        <w:rPr>
          <w:rFonts w:ascii="Times New Roman" w:eastAsia="Times New Roman" w:hAnsi="Times New Roman" w:cs="Times New Roman"/>
          <w:sz w:val="28"/>
        </w:rPr>
        <w:t>едение профилактической работы в области наркомании в образовательных организациях;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>частие во всероссийском, окружном, муниципальном конкурсе юных инспекторов движения «Безопасное колесо»;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4A648C">
        <w:rPr>
          <w:rFonts w:ascii="Times New Roman" w:eastAsia="Times New Roman" w:hAnsi="Times New Roman" w:cs="Times New Roman"/>
          <w:sz w:val="28"/>
        </w:rPr>
        <w:t>азвитие движения отрядов юных инспекторов движения;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снащение спортивно-технических клубов и кабинетов безопасности дорожного движения современным оборудованием и тренажерами.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3.5. Подпрограмма IV «Ресурсное обеспечение системы образования». 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3.5.1. Обеспечение функций управления и контроля в сфере образования: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беспечение деятельности Департамента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3.5.2. Финансовое обеспечение полномочий органов местного самоуправления города Ханты-Мансийска в сфере образования: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</w:t>
      </w:r>
      <w:r w:rsidRPr="004A648C">
        <w:rPr>
          <w:rFonts w:ascii="Times New Roman" w:eastAsia="Times New Roman" w:hAnsi="Times New Roman" w:cs="Times New Roman"/>
          <w:sz w:val="28"/>
        </w:rPr>
        <w:t>существление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беспечение деятельности подведомственных казенных учреждений;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4A648C">
        <w:rPr>
          <w:rFonts w:ascii="Times New Roman" w:eastAsia="Times New Roman" w:hAnsi="Times New Roman" w:cs="Times New Roman"/>
          <w:sz w:val="28"/>
        </w:rPr>
        <w:t>беспечение деятельности подведомственных автономных учреждений, не осуществляющих образовательную деятельность.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3.5.3. Обеспечение комплексной безопасности образовательных организаций: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>крепление комплексной безопасности 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 w:rsidRPr="004A648C">
        <w:rPr>
          <w:rFonts w:ascii="Times New Roman" w:eastAsia="Times New Roman" w:hAnsi="Times New Roman" w:cs="Times New Roman"/>
          <w:sz w:val="28"/>
        </w:rPr>
        <w:t>апитальный ремонт и (или) реконструкция зданий и сооружений муниципальных образовательных организаций, обустройство прилегающих к ним территорий.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3.5.4. Развитие материально-технической базы образовательных организаций: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4A648C">
        <w:rPr>
          <w:rFonts w:ascii="Times New Roman" w:eastAsia="Times New Roman" w:hAnsi="Times New Roman" w:cs="Times New Roman"/>
          <w:sz w:val="28"/>
        </w:rPr>
        <w:t>азвитие инфраструктуры и материально-технической базы муниципальных образовательных организаций;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</w:t>
      </w:r>
      <w:r w:rsidRPr="004A648C">
        <w:rPr>
          <w:rFonts w:ascii="Times New Roman" w:eastAsia="Times New Roman" w:hAnsi="Times New Roman" w:cs="Times New Roman"/>
          <w:sz w:val="28"/>
        </w:rPr>
        <w:t xml:space="preserve">комплектование </w:t>
      </w:r>
      <w:proofErr w:type="spellStart"/>
      <w:r w:rsidRPr="004A648C">
        <w:rPr>
          <w:rFonts w:ascii="Times New Roman" w:eastAsia="Times New Roman" w:hAnsi="Times New Roman" w:cs="Times New Roman"/>
          <w:sz w:val="28"/>
        </w:rPr>
        <w:t>немонтируемым</w:t>
      </w:r>
      <w:proofErr w:type="spellEnd"/>
      <w:r w:rsidRPr="004A648C">
        <w:rPr>
          <w:rFonts w:ascii="Times New Roman" w:eastAsia="Times New Roman" w:hAnsi="Times New Roman" w:cs="Times New Roman"/>
          <w:sz w:val="28"/>
        </w:rPr>
        <w:t xml:space="preserve"> оборудованием, прочим инвентарем и материалами вновь вводимых объектов;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Pr="004A648C">
        <w:rPr>
          <w:rFonts w:ascii="Times New Roman" w:eastAsia="Times New Roman" w:hAnsi="Times New Roman" w:cs="Times New Roman"/>
          <w:sz w:val="28"/>
        </w:rPr>
        <w:t>оздание новых групп в функционирующих образовательных организациях за счет эффективного использования помещений.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3.6. Перечень основных мероприятий программы отражен в приложении 2 к настоящей программе.</w:t>
      </w:r>
    </w:p>
    <w:p w:rsidR="009D5812" w:rsidRPr="004A648C" w:rsidRDefault="009D5812" w:rsidP="009D581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a5"/>
        <w:numPr>
          <w:ilvl w:val="0"/>
          <w:numId w:val="8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Обоснование ресурсного обеспечения программы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4.1. Решение задач программы осуществляется в рамках текущего финансирования, направленного на содержание подведомственных организаций. В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целях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рационального использования средств бюджета города Ханты-Мансийска в рамках бюджета отрасли ресурсы перераспределяются в виде целевого финансирования запланированных мероприятий программы.</w:t>
      </w: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</w:rPr>
      </w:pPr>
    </w:p>
    <w:p w:rsidR="009D5812" w:rsidRPr="004A648C" w:rsidRDefault="009D5812" w:rsidP="009D581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0"/>
        </w:rPr>
      </w:pPr>
      <w:r w:rsidRPr="004A648C">
        <w:rPr>
          <w:rFonts w:ascii="Times New Roman" w:eastAsia="Times New Roman" w:hAnsi="Times New Roman" w:cs="Times New Roman"/>
          <w:sz w:val="20"/>
        </w:rPr>
        <w:t>(</w:t>
      </w:r>
      <w:proofErr w:type="gramStart"/>
      <w:r w:rsidRPr="004A648C">
        <w:rPr>
          <w:rFonts w:ascii="Times New Roman" w:eastAsia="Times New Roman" w:hAnsi="Times New Roman" w:cs="Times New Roman"/>
          <w:sz w:val="20"/>
        </w:rPr>
        <w:t>р</w:t>
      </w:r>
      <w:proofErr w:type="gramEnd"/>
      <w:r w:rsidRPr="004A648C">
        <w:rPr>
          <w:rFonts w:ascii="Times New Roman" w:eastAsia="Times New Roman" w:hAnsi="Times New Roman" w:cs="Times New Roman"/>
          <w:sz w:val="20"/>
        </w:rPr>
        <w:t>уб.)</w:t>
      </w:r>
    </w:p>
    <w:tbl>
      <w:tblPr>
        <w:tblW w:w="9498" w:type="dxa"/>
        <w:tblInd w:w="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4"/>
        <w:gridCol w:w="1331"/>
        <w:gridCol w:w="1276"/>
        <w:gridCol w:w="1301"/>
        <w:gridCol w:w="1335"/>
        <w:gridCol w:w="1335"/>
        <w:gridCol w:w="1416"/>
      </w:tblGrid>
      <w:tr w:rsidR="009D5812" w:rsidRPr="004A648C" w:rsidTr="00A364A5">
        <w:trPr>
          <w:trHeight w:val="1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Источник финансирования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2017 год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2018 год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2019 год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2020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jc w:val="center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Итого</w:t>
            </w:r>
          </w:p>
        </w:tc>
      </w:tr>
      <w:tr w:rsidR="009D5812" w:rsidRPr="004A648C" w:rsidTr="00A364A5">
        <w:trPr>
          <w:trHeight w:val="1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Бюджет города Ханты-Мансийска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7629097</w:t>
            </w: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825048093,0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820355693,0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820306693,0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820306693,0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422</w:t>
            </w:r>
            <w:r>
              <w:rPr>
                <w:rFonts w:ascii="Times New Roman" w:eastAsia="Times New Roman" w:hAnsi="Times New Roman" w:cs="Times New Roman"/>
                <w:sz w:val="20"/>
              </w:rPr>
              <w:t>3646269</w:t>
            </w:r>
            <w:r w:rsidRPr="004A648C">
              <w:rPr>
                <w:rFonts w:ascii="Times New Roman" w:eastAsia="Times New Roman" w:hAnsi="Times New Roman" w:cs="Times New Roman"/>
                <w:sz w:val="20"/>
              </w:rPr>
              <w:t>,0</w:t>
            </w:r>
          </w:p>
        </w:tc>
      </w:tr>
      <w:tr w:rsidR="009D5812" w:rsidRPr="004A648C" w:rsidTr="00A364A5">
        <w:trPr>
          <w:trHeight w:val="1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</w:pPr>
            <w:r w:rsidRPr="004A648C">
              <w:rPr>
                <w:rFonts w:ascii="Times New Roman" w:eastAsia="Times New Roman" w:hAnsi="Times New Roman" w:cs="Times New Roman"/>
                <w:sz w:val="20"/>
              </w:rPr>
              <w:t>Бюджет Ханты-Мансийского автономного округа - Югры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2349624200,0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2613374800,0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2463327300,0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2463327300,0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hAnsi="Times New Roman" w:cs="Times New Roman"/>
                <w:sz w:val="20"/>
                <w:szCs w:val="20"/>
              </w:rPr>
              <w:t>2463327300,0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48C">
              <w:rPr>
                <w:rFonts w:ascii="Times New Roman" w:eastAsia="Times New Roman" w:hAnsi="Times New Roman" w:cs="Times New Roman"/>
                <w:sz w:val="20"/>
                <w:szCs w:val="20"/>
              </w:rPr>
              <w:t>12352980900,0</w:t>
            </w:r>
          </w:p>
        </w:tc>
      </w:tr>
    </w:tbl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4.2. Расчет потребности в ресурсном обеспечении для реализации программы основан на оценке объемов средств, необходимых для реализации каждого мероприятия. Указанное распределение носит прогнозный характер и подлежит ежегодному уточнению в установленном порядке при формировании проекта бюджета города Ханты-Мансийска.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Механизм реализации программы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5.1. Программа реализуется в течение 2016 - 2020 годов.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5.2. Общий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исполнением муниципальной программы осуществляет заместитель Главы Администрации города Ханты-Мансийска, курирующий вопросы в сфере образования, здравоохранения, молодежной политики и спорта, опеки и попечительства.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5.3. Координатором программы является Департамент образования, исполнителями мероприятий: Департамент образования, Департамент муниципальной собственности, Департамент градостроительства и архитектуры, Департамент городского хозяйства, Управление капитального строительства, Дирекция по содержанию имущества казны, организации, подведомственные Департаменту образования.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 Координатор программы: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5.4.1. Обеспечивает эффективное управление программой.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5.4.2. Ежегодно формирует перечень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5.4.3. Представляет отчеты о реализации программы.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5.4.4. Информирует общественность о ходе и результатах реализации программы, в том числе о механизмах реализации отдельных программных мероприятий.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5.4.5. Разрабатывает в пределах своих полномочий проекты правовых актов, необходимых для реализации программы.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5.4.6. Передает при необходимости часть функций по ее реализации подведомственным организациям.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5.4.7. Осуществляет координацию деятельности исполнителей программных мероприятий.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5.4.8. Осуществляет контроль и несет ответственность за своевременную и качественную реализацию программы, осуществляет управление, обеспечивает эффективное использование средств, выделяемых на ее реализацию.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5.5. Исполнители мероприятий программы: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5.5.1. Несут ответственность за целевое и эффективное использование выделенных им бюджетных средств, реализацию координируемых мероприятий программы и результаты их реализации, за рациональное использование выделяемых на их реализацию средств, уточняют сроки и объемы их финансирования.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5.5.2. Представляют по запросу координатора программы необходимую информацию в установленные сроки.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5.6. Реализация программы осуществляется путем: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5.6.1. Заключения муниципальными заказчиками с исполнителями муниципальных контрактов на приобретение товаров (оказание услуг, выполнение работ) для муниципальных нужд в установленном законодательством Российской Федерации порядке.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5.6.2. Передачи части своих функций подведомственным муниципальным организациям города Ханты-Мансийска в соответствии с муниципальным заданием на оказание муниципальных услуг (выполнение работ).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5.7. Внесение изменений в муниципальную программу осуществляется на условиях и в порядке ее рассмотрения, согласования и утверждения.</w:t>
      </w:r>
    </w:p>
    <w:p w:rsidR="009D5812" w:rsidRPr="004A648C" w:rsidRDefault="009D5812" w:rsidP="009D5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5.8. Оценка хода исполнения мероприятий муниципальной программы основана на мониторинге ожидаемых результатов ее реализации путем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сопоставления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фактически достигнутых и плановых значений целевых показателей. В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соответствии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с данными мониторинга по фактически достигнутым результатам реализации в муниципальную программу могут быть внесены корректировки. В </w:t>
      </w:r>
      <w:proofErr w:type="gramStart"/>
      <w:r w:rsidRPr="004A648C">
        <w:rPr>
          <w:rFonts w:ascii="Times New Roman" w:eastAsia="Times New Roman" w:hAnsi="Times New Roman" w:cs="Times New Roman"/>
          <w:sz w:val="28"/>
        </w:rPr>
        <w:t>случае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выявления лучших практик реализации программных мероприятий в нее могут быть внесены корректировки, связанные с оптимизацией этих мероприятий.</w:t>
      </w:r>
    </w:p>
    <w:p w:rsidR="009D5812" w:rsidRPr="004A648C" w:rsidRDefault="009D5812" w:rsidP="009D5812">
      <w:pPr>
        <w:spacing w:after="0" w:line="240" w:lineRule="auto"/>
        <w:ind w:left="720" w:firstLine="567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lastRenderedPageBreak/>
        <w:t>Приложение 1</w:t>
      </w: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 xml:space="preserve">к </w:t>
      </w:r>
      <w:r>
        <w:rPr>
          <w:rFonts w:ascii="Times New Roman" w:eastAsia="Times New Roman" w:hAnsi="Times New Roman" w:cs="Times New Roman"/>
          <w:sz w:val="28"/>
        </w:rPr>
        <w:t>проекту муниципальной программы</w:t>
      </w: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«Развитие образования в городе</w:t>
      </w:r>
    </w:p>
    <w:p w:rsidR="009D5812" w:rsidRPr="004A648C" w:rsidRDefault="009D5812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proofErr w:type="gramStart"/>
      <w:r w:rsidRPr="004A648C">
        <w:rPr>
          <w:rFonts w:ascii="Times New Roman" w:eastAsia="Times New Roman" w:hAnsi="Times New Roman" w:cs="Times New Roman"/>
          <w:sz w:val="28"/>
        </w:rPr>
        <w:t>Ханты-Мансийске</w:t>
      </w:r>
      <w:proofErr w:type="gramEnd"/>
      <w:r w:rsidRPr="004A648C">
        <w:rPr>
          <w:rFonts w:ascii="Times New Roman" w:eastAsia="Times New Roman" w:hAnsi="Times New Roman" w:cs="Times New Roman"/>
          <w:sz w:val="28"/>
        </w:rPr>
        <w:t xml:space="preserve"> на 2016 - 2020 годы»</w:t>
      </w:r>
    </w:p>
    <w:p w:rsidR="009D5812" w:rsidRPr="004A648C" w:rsidRDefault="009D5812" w:rsidP="009D58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>СИСТЕМА ПОКАЗАТЕЛЕЙ,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gramStart"/>
      <w:r w:rsidRPr="004A648C">
        <w:rPr>
          <w:rFonts w:ascii="Times New Roman" w:eastAsia="Times New Roman" w:hAnsi="Times New Roman" w:cs="Times New Roman"/>
          <w:b/>
          <w:sz w:val="28"/>
        </w:rPr>
        <w:t>ХАРАКТЕРИЗУЮЩИХ</w:t>
      </w:r>
      <w:proofErr w:type="gramEnd"/>
      <w:r w:rsidRPr="004A648C">
        <w:rPr>
          <w:rFonts w:ascii="Times New Roman" w:eastAsia="Times New Roman" w:hAnsi="Times New Roman" w:cs="Times New Roman"/>
          <w:b/>
          <w:sz w:val="28"/>
        </w:rPr>
        <w:t xml:space="preserve"> РЕЗУЛЬТАТЫ РЕАЛИЗАЦИИ</w:t>
      </w:r>
    </w:p>
    <w:p w:rsidR="009D5812" w:rsidRPr="004A648C" w:rsidRDefault="009D5812" w:rsidP="009D5812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4A648C">
        <w:rPr>
          <w:rFonts w:ascii="Times New Roman" w:eastAsia="Times New Roman" w:hAnsi="Times New Roman" w:cs="Times New Roman"/>
          <w:b/>
          <w:sz w:val="28"/>
        </w:rPr>
        <w:t>МУНИЦИПАЛЬНОЙ ПРОГРАММЫ</w:t>
      </w:r>
    </w:p>
    <w:p w:rsidR="009D5812" w:rsidRPr="004A648C" w:rsidRDefault="009D5812" w:rsidP="009D58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Наименование программы и срок ее реализации: «Развитие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образования в городе Ханты-Мансийске на 2016 - 2020 годы».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A648C">
        <w:rPr>
          <w:rFonts w:ascii="Times New Roman" w:eastAsia="Times New Roman" w:hAnsi="Times New Roman" w:cs="Times New Roman"/>
          <w:sz w:val="28"/>
        </w:rPr>
        <w:t>Координатор программы: Департамент образования Администрации города Ханты-Мансийска.</w:t>
      </w:r>
    </w:p>
    <w:p w:rsidR="009D5812" w:rsidRPr="004A648C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10224" w:type="dxa"/>
        <w:jc w:val="center"/>
        <w:tblInd w:w="-126" w:type="dxa"/>
        <w:tblLook w:val="04A0" w:firstRow="1" w:lastRow="0" w:firstColumn="1" w:lastColumn="0" w:noHBand="0" w:noVBand="1"/>
      </w:tblPr>
      <w:tblGrid>
        <w:gridCol w:w="696"/>
        <w:gridCol w:w="2504"/>
        <w:gridCol w:w="785"/>
        <w:gridCol w:w="1384"/>
        <w:gridCol w:w="696"/>
        <w:gridCol w:w="696"/>
        <w:gridCol w:w="696"/>
        <w:gridCol w:w="696"/>
        <w:gridCol w:w="696"/>
        <w:gridCol w:w="1375"/>
      </w:tblGrid>
      <w:tr w:rsidR="009D5812" w:rsidRPr="004A648C" w:rsidTr="00A364A5">
        <w:trPr>
          <w:trHeight w:val="1440"/>
          <w:jc w:val="center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48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на момент окончания действия программы</w:t>
            </w:r>
          </w:p>
        </w:tc>
      </w:tr>
      <w:tr w:rsidR="009D5812" w:rsidRPr="004A648C" w:rsidTr="00A364A5">
        <w:trPr>
          <w:trHeight w:val="46"/>
          <w:jc w:val="center"/>
        </w:trPr>
        <w:tc>
          <w:tcPr>
            <w:tcW w:w="6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3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12" w:rsidRPr="004A648C" w:rsidTr="00A364A5">
        <w:trPr>
          <w:trHeight w:val="46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10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Подпрограмма I "Общее образование.  Дополнительное образование"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7-11 классов, принявших участие в муниципальном этапе Всероссийской олимпиады школьников, в общей численности обучающихся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общеобразовательных образовательных организаций, в том числе в составе комплексов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Количество детей в возрасте от 6 до 17 лет, охваченных отдыхом и оздоровлением в лагерях вне города Ханты-Мансийска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чел. в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9D5812" w:rsidRPr="004A648C" w:rsidTr="00A364A5">
        <w:trPr>
          <w:trHeight w:val="222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в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от 6 до 17 лет, охваченных отдыхом и оздоровлением в лагерях с дневным пребыванием детей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чел.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6250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общеобразовательных организаций к среднемесячной заработной по Ханты-Мансийскому автономному округу</w:t>
            </w:r>
            <w:proofErr w:type="gram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образовательными программами дополнительного образования, в общей численности детей в возрасте 5 - 18 лет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3 до 7 лет, получающих дошкольную образовательную услугу и (или) услугу по их содержанию, в общей численности детей данного возраста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административно-управленческого и педагогического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персонала общеобразовательных организаций, подготовленных для работы в соответствии с требованиями федеральных государственных стандартов, в общей численности административно-управленческого и педагогического персонала общеобразовательных организаций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Ежегодно не менее 20 %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организациях, занимающихся в первую смену, в общей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образовательных организаций,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образовательных организаций, реализующих программы общего образования, имеющих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физкультурный зал, в общей численности муниципальных образовательных организаций, реализующих программы общего образования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детей в возрасте от 1-6 лет, состоящих на учете  для определения в муниципальную дошкольную образовательную организацию в общей численности детей 1-6 лет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ind w:firstLine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детей дошкольного возраста местами в дошкольных образовательных организациях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Кол-во мест на 1000 детей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ind w:firstLine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1-6 лет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детей дошкольного возраста от 3 – 7 лет обеспеченных дошкольным образованием сохранится на уровне 100%.</w:t>
            </w:r>
          </w:p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4A64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в возрасте 7 - 18 лет, охваченная образованием с учетом образовательных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потребностей и запросов обучающихся, в том числе имеющих ограниченные возможности здоровья, в общей численности населения в возрасте 7-18 лет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9D5812" w:rsidRPr="004A648C" w:rsidTr="00A364A5">
        <w:trPr>
          <w:trHeight w:val="882"/>
          <w:jc w:val="center"/>
        </w:trPr>
        <w:tc>
          <w:tcPr>
            <w:tcW w:w="10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II «Система оценки качества образования и информационная прозрачность системы образования»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 Доля общеобразовательных организаций, реализующих мониторинг индивидуальных достижений учащихся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предоставляющих муниципальные услуги в электронной форме (текущая успеваемость учащегося, информация об образовательных программах, зачисление в образовательные организации)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10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III "Допризывная подготовка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5 - 18 лет, вовлеченных в детские и юношеские общественные объединения, состоящих в патриотических клубах, центрах, организациях и вовлеченных в мероприятия патриотической направленности,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занимающихся военно-прикладными и техническими видами спорта, в общей численности обучающихся данного возраста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Увеличение доли молодых людей в возрасте от 14 - 18 лет, участвующих в деятельности детских и юношеских общественных объединениях, в общей численности обучающихся данного возраста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D5812" w:rsidRPr="004A648C" w:rsidTr="00A364A5">
        <w:trPr>
          <w:trHeight w:val="660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Увеличение доли молодых людей в возрасте 5-18 лет, занимающихся военно-прикладными и техническими видами спорта, в общей численности обучающихся данного возраста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1022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Подпрограмма IV «Ресурсное обеспечение системы образования»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времени ожидания в очереди при обращении заявителя в орган местного самоуправления для получения </w:t>
            </w: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(муниципальных) услуг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1. Доля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организаций, </w:t>
            </w:r>
          </w:p>
        </w:tc>
        <w:tc>
          <w:tcPr>
            <w:tcW w:w="7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соответствующих современным </w:t>
            </w:r>
          </w:p>
        </w:tc>
        <w:tc>
          <w:tcPr>
            <w:tcW w:w="7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безопасности ведения образовательного процесса, в общем   </w:t>
            </w:r>
          </w:p>
        </w:tc>
        <w:tc>
          <w:tcPr>
            <w:tcW w:w="7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12" w:rsidRPr="004A648C" w:rsidTr="00A364A5">
        <w:trPr>
          <w:trHeight w:val="439"/>
          <w:jc w:val="center"/>
        </w:trPr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 </w:t>
            </w:r>
            <w:proofErr w:type="gramStart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  <w:r w:rsidRPr="004A648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812" w:rsidRPr="00054CFE" w:rsidTr="00A364A5">
        <w:trPr>
          <w:trHeight w:val="439"/>
          <w:jc w:val="center"/>
        </w:trPr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4A648C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48C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  <w:r w:rsidRPr="00054C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5812" w:rsidRPr="00054CFE" w:rsidRDefault="009D5812" w:rsidP="00A364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5812" w:rsidRPr="006C04FD" w:rsidRDefault="009D5812" w:rsidP="009D581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422F" w:rsidRPr="006C04FD" w:rsidRDefault="009D422F" w:rsidP="009D58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sectPr w:rsidR="009D422F" w:rsidRPr="006C04FD" w:rsidSect="001A04A9">
      <w:headerReference w:type="default" r:id="rId15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DF9" w:rsidRDefault="00651DF9" w:rsidP="00AD45FB">
      <w:pPr>
        <w:spacing w:after="0" w:line="240" w:lineRule="auto"/>
      </w:pPr>
      <w:r>
        <w:separator/>
      </w:r>
    </w:p>
  </w:endnote>
  <w:endnote w:type="continuationSeparator" w:id="0">
    <w:p w:rsidR="00651DF9" w:rsidRDefault="00651DF9" w:rsidP="00AD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DF9" w:rsidRDefault="00651DF9" w:rsidP="00AD45FB">
      <w:pPr>
        <w:spacing w:after="0" w:line="240" w:lineRule="auto"/>
      </w:pPr>
      <w:r>
        <w:separator/>
      </w:r>
    </w:p>
  </w:footnote>
  <w:footnote w:type="continuationSeparator" w:id="0">
    <w:p w:rsidR="00651DF9" w:rsidRDefault="00651DF9" w:rsidP="00AD4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2061831"/>
      <w:docPartObj>
        <w:docPartGallery w:val="Page Numbers (Top of Page)"/>
        <w:docPartUnique/>
      </w:docPartObj>
    </w:sdtPr>
    <w:sdtEndPr/>
    <w:sdtContent>
      <w:p w:rsidR="00A31E84" w:rsidRPr="00AD45FB" w:rsidRDefault="00A31E84">
        <w:pPr>
          <w:pStyle w:val="a6"/>
          <w:jc w:val="center"/>
        </w:pPr>
        <w:r w:rsidRPr="00AD45FB">
          <w:fldChar w:fldCharType="begin"/>
        </w:r>
        <w:r w:rsidRPr="00AD45FB">
          <w:instrText>PAGE   \* MERGEFORMAT</w:instrText>
        </w:r>
        <w:r w:rsidRPr="00AD45FB">
          <w:fldChar w:fldCharType="separate"/>
        </w:r>
        <w:r w:rsidR="00B736A5">
          <w:rPr>
            <w:noProof/>
          </w:rPr>
          <w:t>2</w:t>
        </w:r>
        <w:r w:rsidRPr="00AD45FB">
          <w:fldChar w:fldCharType="end"/>
        </w:r>
      </w:p>
    </w:sdtContent>
  </w:sdt>
  <w:p w:rsidR="00A31E84" w:rsidRDefault="00A31E8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4BED"/>
    <w:multiLevelType w:val="multilevel"/>
    <w:tmpl w:val="D2801B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EB7144E"/>
    <w:multiLevelType w:val="multilevel"/>
    <w:tmpl w:val="42D40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607E4F"/>
    <w:multiLevelType w:val="multilevel"/>
    <w:tmpl w:val="C6309D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912DA9"/>
    <w:multiLevelType w:val="multilevel"/>
    <w:tmpl w:val="D31A04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F63283"/>
    <w:multiLevelType w:val="hybridMultilevel"/>
    <w:tmpl w:val="6AB29EB0"/>
    <w:lvl w:ilvl="0" w:tplc="44C6E81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351E0EBA"/>
    <w:multiLevelType w:val="hybridMultilevel"/>
    <w:tmpl w:val="1234D83C"/>
    <w:lvl w:ilvl="0" w:tplc="BF024E8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CE742C"/>
    <w:multiLevelType w:val="multilevel"/>
    <w:tmpl w:val="21481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457CA6"/>
    <w:multiLevelType w:val="hybridMultilevel"/>
    <w:tmpl w:val="965276B6"/>
    <w:lvl w:ilvl="0" w:tplc="D0BEC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B44090"/>
    <w:multiLevelType w:val="hybridMultilevel"/>
    <w:tmpl w:val="4BA2E67E"/>
    <w:lvl w:ilvl="0" w:tplc="0246B6D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50C614FC"/>
    <w:multiLevelType w:val="multilevel"/>
    <w:tmpl w:val="5DB20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B91E7D"/>
    <w:multiLevelType w:val="hybridMultilevel"/>
    <w:tmpl w:val="F5A67C06"/>
    <w:lvl w:ilvl="0" w:tplc="321E24FA">
      <w:start w:val="2020"/>
      <w:numFmt w:val="decimal"/>
      <w:lvlText w:val="%1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A25B7"/>
    <w:multiLevelType w:val="hybridMultilevel"/>
    <w:tmpl w:val="48CAC7B4"/>
    <w:lvl w:ilvl="0" w:tplc="1102E24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5133E4"/>
    <w:multiLevelType w:val="hybridMultilevel"/>
    <w:tmpl w:val="2C7E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D166A"/>
    <w:multiLevelType w:val="hybridMultilevel"/>
    <w:tmpl w:val="177A29EE"/>
    <w:lvl w:ilvl="0" w:tplc="21E82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3"/>
  </w:num>
  <w:num w:numId="6">
    <w:abstractNumId w:val="10"/>
  </w:num>
  <w:num w:numId="7">
    <w:abstractNumId w:val="0"/>
  </w:num>
  <w:num w:numId="8">
    <w:abstractNumId w:val="11"/>
  </w:num>
  <w:num w:numId="9">
    <w:abstractNumId w:val="13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2F"/>
    <w:rsid w:val="00002CE0"/>
    <w:rsid w:val="00020406"/>
    <w:rsid w:val="000361C6"/>
    <w:rsid w:val="00054CFE"/>
    <w:rsid w:val="00061654"/>
    <w:rsid w:val="00072C99"/>
    <w:rsid w:val="000750BF"/>
    <w:rsid w:val="00075DF9"/>
    <w:rsid w:val="000839DB"/>
    <w:rsid w:val="00084BFE"/>
    <w:rsid w:val="000875C5"/>
    <w:rsid w:val="00091839"/>
    <w:rsid w:val="000A209F"/>
    <w:rsid w:val="000B1EDC"/>
    <w:rsid w:val="000B26ED"/>
    <w:rsid w:val="000D4490"/>
    <w:rsid w:val="000F44DC"/>
    <w:rsid w:val="000F6D55"/>
    <w:rsid w:val="001057E2"/>
    <w:rsid w:val="001142D1"/>
    <w:rsid w:val="001228CB"/>
    <w:rsid w:val="00126748"/>
    <w:rsid w:val="0012679C"/>
    <w:rsid w:val="00130F92"/>
    <w:rsid w:val="00151A89"/>
    <w:rsid w:val="001555E7"/>
    <w:rsid w:val="00157D78"/>
    <w:rsid w:val="00160725"/>
    <w:rsid w:val="00172A49"/>
    <w:rsid w:val="00175767"/>
    <w:rsid w:val="00183F3F"/>
    <w:rsid w:val="00184877"/>
    <w:rsid w:val="001927A9"/>
    <w:rsid w:val="001A04A9"/>
    <w:rsid w:val="001B2E3C"/>
    <w:rsid w:val="001B7885"/>
    <w:rsid w:val="001B7C15"/>
    <w:rsid w:val="001C1873"/>
    <w:rsid w:val="001C6CF1"/>
    <w:rsid w:val="001D0582"/>
    <w:rsid w:val="001D10EB"/>
    <w:rsid w:val="001D4BE6"/>
    <w:rsid w:val="001E2380"/>
    <w:rsid w:val="001F5311"/>
    <w:rsid w:val="00204277"/>
    <w:rsid w:val="00213868"/>
    <w:rsid w:val="002239FD"/>
    <w:rsid w:val="00234FA8"/>
    <w:rsid w:val="002450DC"/>
    <w:rsid w:val="002702B8"/>
    <w:rsid w:val="00273063"/>
    <w:rsid w:val="0027570B"/>
    <w:rsid w:val="00284543"/>
    <w:rsid w:val="00295467"/>
    <w:rsid w:val="002B278E"/>
    <w:rsid w:val="002B59BF"/>
    <w:rsid w:val="002E39D9"/>
    <w:rsid w:val="002E7DD5"/>
    <w:rsid w:val="002F1DAB"/>
    <w:rsid w:val="002F40F7"/>
    <w:rsid w:val="00314A13"/>
    <w:rsid w:val="003203DD"/>
    <w:rsid w:val="00327F6C"/>
    <w:rsid w:val="00331D5D"/>
    <w:rsid w:val="003406C3"/>
    <w:rsid w:val="00341E18"/>
    <w:rsid w:val="0034494D"/>
    <w:rsid w:val="00347D8F"/>
    <w:rsid w:val="00353B85"/>
    <w:rsid w:val="00365A88"/>
    <w:rsid w:val="003809E4"/>
    <w:rsid w:val="0038474E"/>
    <w:rsid w:val="003857DE"/>
    <w:rsid w:val="0039099B"/>
    <w:rsid w:val="0039260F"/>
    <w:rsid w:val="00396D1A"/>
    <w:rsid w:val="003B0238"/>
    <w:rsid w:val="003B43CB"/>
    <w:rsid w:val="003B7429"/>
    <w:rsid w:val="003D336F"/>
    <w:rsid w:val="003D3C11"/>
    <w:rsid w:val="003D4F3E"/>
    <w:rsid w:val="003E49AD"/>
    <w:rsid w:val="003F09BC"/>
    <w:rsid w:val="003F220F"/>
    <w:rsid w:val="00422982"/>
    <w:rsid w:val="004253AE"/>
    <w:rsid w:val="004320BE"/>
    <w:rsid w:val="00435620"/>
    <w:rsid w:val="00446C16"/>
    <w:rsid w:val="00473A5A"/>
    <w:rsid w:val="00474C0F"/>
    <w:rsid w:val="004845A7"/>
    <w:rsid w:val="00490FD2"/>
    <w:rsid w:val="00497AEE"/>
    <w:rsid w:val="004A648C"/>
    <w:rsid w:val="004B43A1"/>
    <w:rsid w:val="00507382"/>
    <w:rsid w:val="00522303"/>
    <w:rsid w:val="0052659C"/>
    <w:rsid w:val="00537AB3"/>
    <w:rsid w:val="00543E4B"/>
    <w:rsid w:val="00561032"/>
    <w:rsid w:val="005725BD"/>
    <w:rsid w:val="00582330"/>
    <w:rsid w:val="00582753"/>
    <w:rsid w:val="00585841"/>
    <w:rsid w:val="00587432"/>
    <w:rsid w:val="00587764"/>
    <w:rsid w:val="0059133F"/>
    <w:rsid w:val="005A1D92"/>
    <w:rsid w:val="005A3310"/>
    <w:rsid w:val="005C2AC5"/>
    <w:rsid w:val="005C38C6"/>
    <w:rsid w:val="005C6BD2"/>
    <w:rsid w:val="005D51DB"/>
    <w:rsid w:val="005E0400"/>
    <w:rsid w:val="005E406B"/>
    <w:rsid w:val="005E580D"/>
    <w:rsid w:val="00606185"/>
    <w:rsid w:val="0062010C"/>
    <w:rsid w:val="006224C3"/>
    <w:rsid w:val="006275E0"/>
    <w:rsid w:val="006324A5"/>
    <w:rsid w:val="0064030B"/>
    <w:rsid w:val="00651DF9"/>
    <w:rsid w:val="006576E8"/>
    <w:rsid w:val="006668D2"/>
    <w:rsid w:val="00667EF8"/>
    <w:rsid w:val="00674612"/>
    <w:rsid w:val="006958AF"/>
    <w:rsid w:val="006C04FD"/>
    <w:rsid w:val="006C0534"/>
    <w:rsid w:val="006C2AE1"/>
    <w:rsid w:val="006C3441"/>
    <w:rsid w:val="006E6509"/>
    <w:rsid w:val="006E6F9E"/>
    <w:rsid w:val="006F66FD"/>
    <w:rsid w:val="007024B5"/>
    <w:rsid w:val="007032F5"/>
    <w:rsid w:val="007079E2"/>
    <w:rsid w:val="00711CA4"/>
    <w:rsid w:val="00712A81"/>
    <w:rsid w:val="00725050"/>
    <w:rsid w:val="00760C67"/>
    <w:rsid w:val="007747BD"/>
    <w:rsid w:val="00790A60"/>
    <w:rsid w:val="00795212"/>
    <w:rsid w:val="00796EC1"/>
    <w:rsid w:val="00797B7A"/>
    <w:rsid w:val="007A5028"/>
    <w:rsid w:val="007B41D8"/>
    <w:rsid w:val="007C4FFC"/>
    <w:rsid w:val="007E105B"/>
    <w:rsid w:val="007E6AFB"/>
    <w:rsid w:val="00812F30"/>
    <w:rsid w:val="008144E5"/>
    <w:rsid w:val="00815D8B"/>
    <w:rsid w:val="00821A3D"/>
    <w:rsid w:val="00822801"/>
    <w:rsid w:val="00823412"/>
    <w:rsid w:val="00827013"/>
    <w:rsid w:val="00856495"/>
    <w:rsid w:val="00860A35"/>
    <w:rsid w:val="00861238"/>
    <w:rsid w:val="0087068C"/>
    <w:rsid w:val="008748E9"/>
    <w:rsid w:val="00883EF8"/>
    <w:rsid w:val="008A1562"/>
    <w:rsid w:val="008A256C"/>
    <w:rsid w:val="008A5266"/>
    <w:rsid w:val="008B5CB8"/>
    <w:rsid w:val="008D73E7"/>
    <w:rsid w:val="008F0EAF"/>
    <w:rsid w:val="00902B6D"/>
    <w:rsid w:val="00903400"/>
    <w:rsid w:val="00904912"/>
    <w:rsid w:val="009239F8"/>
    <w:rsid w:val="00924866"/>
    <w:rsid w:val="00933A0D"/>
    <w:rsid w:val="009500CC"/>
    <w:rsid w:val="009505C2"/>
    <w:rsid w:val="00957F2C"/>
    <w:rsid w:val="00962258"/>
    <w:rsid w:val="00973B01"/>
    <w:rsid w:val="00974B1C"/>
    <w:rsid w:val="00974C01"/>
    <w:rsid w:val="00990572"/>
    <w:rsid w:val="00997044"/>
    <w:rsid w:val="009A4926"/>
    <w:rsid w:val="009B017F"/>
    <w:rsid w:val="009D422F"/>
    <w:rsid w:val="009D5812"/>
    <w:rsid w:val="00A22766"/>
    <w:rsid w:val="00A31E84"/>
    <w:rsid w:val="00A3587D"/>
    <w:rsid w:val="00A479DB"/>
    <w:rsid w:val="00A6305C"/>
    <w:rsid w:val="00A80004"/>
    <w:rsid w:val="00A82305"/>
    <w:rsid w:val="00A84787"/>
    <w:rsid w:val="00A84EB0"/>
    <w:rsid w:val="00A84EB1"/>
    <w:rsid w:val="00A9173E"/>
    <w:rsid w:val="00AB5516"/>
    <w:rsid w:val="00AB6716"/>
    <w:rsid w:val="00AC2D94"/>
    <w:rsid w:val="00AD007C"/>
    <w:rsid w:val="00AD45FB"/>
    <w:rsid w:val="00AF74A6"/>
    <w:rsid w:val="00B030D0"/>
    <w:rsid w:val="00B1432F"/>
    <w:rsid w:val="00B260BB"/>
    <w:rsid w:val="00B44207"/>
    <w:rsid w:val="00B44906"/>
    <w:rsid w:val="00B736A5"/>
    <w:rsid w:val="00B80D6C"/>
    <w:rsid w:val="00B86AF9"/>
    <w:rsid w:val="00B87574"/>
    <w:rsid w:val="00B930C4"/>
    <w:rsid w:val="00B955D5"/>
    <w:rsid w:val="00BC5269"/>
    <w:rsid w:val="00BD1BE6"/>
    <w:rsid w:val="00BE7B54"/>
    <w:rsid w:val="00C17996"/>
    <w:rsid w:val="00C21D2B"/>
    <w:rsid w:val="00C235EE"/>
    <w:rsid w:val="00C25A6C"/>
    <w:rsid w:val="00C301EB"/>
    <w:rsid w:val="00C3094F"/>
    <w:rsid w:val="00C378DD"/>
    <w:rsid w:val="00C55916"/>
    <w:rsid w:val="00C60270"/>
    <w:rsid w:val="00C62CC1"/>
    <w:rsid w:val="00C872FD"/>
    <w:rsid w:val="00CA2BB2"/>
    <w:rsid w:val="00CA4223"/>
    <w:rsid w:val="00CB0C78"/>
    <w:rsid w:val="00CB401E"/>
    <w:rsid w:val="00CB7F53"/>
    <w:rsid w:val="00CC389D"/>
    <w:rsid w:val="00CC6379"/>
    <w:rsid w:val="00CC7C50"/>
    <w:rsid w:val="00CD25C8"/>
    <w:rsid w:val="00CD551E"/>
    <w:rsid w:val="00CE5D24"/>
    <w:rsid w:val="00CF5184"/>
    <w:rsid w:val="00D04102"/>
    <w:rsid w:val="00D1436B"/>
    <w:rsid w:val="00D239EE"/>
    <w:rsid w:val="00D30C23"/>
    <w:rsid w:val="00D35C3D"/>
    <w:rsid w:val="00D44B99"/>
    <w:rsid w:val="00D56B70"/>
    <w:rsid w:val="00D62ED1"/>
    <w:rsid w:val="00D86FE4"/>
    <w:rsid w:val="00D91FDC"/>
    <w:rsid w:val="00D96497"/>
    <w:rsid w:val="00D96F34"/>
    <w:rsid w:val="00DA043D"/>
    <w:rsid w:val="00DB01CD"/>
    <w:rsid w:val="00DC64AE"/>
    <w:rsid w:val="00DE5DD7"/>
    <w:rsid w:val="00DF13A8"/>
    <w:rsid w:val="00DF33C2"/>
    <w:rsid w:val="00E03298"/>
    <w:rsid w:val="00E03AC4"/>
    <w:rsid w:val="00E05CCC"/>
    <w:rsid w:val="00E204E6"/>
    <w:rsid w:val="00E208E2"/>
    <w:rsid w:val="00E24C2E"/>
    <w:rsid w:val="00E354A2"/>
    <w:rsid w:val="00E37E60"/>
    <w:rsid w:val="00E427D6"/>
    <w:rsid w:val="00E46F13"/>
    <w:rsid w:val="00E511FF"/>
    <w:rsid w:val="00E54353"/>
    <w:rsid w:val="00E57699"/>
    <w:rsid w:val="00E57718"/>
    <w:rsid w:val="00E578BA"/>
    <w:rsid w:val="00E60DDD"/>
    <w:rsid w:val="00E71A12"/>
    <w:rsid w:val="00E73DD8"/>
    <w:rsid w:val="00E74867"/>
    <w:rsid w:val="00E75AAF"/>
    <w:rsid w:val="00E86374"/>
    <w:rsid w:val="00E93B15"/>
    <w:rsid w:val="00E97E6F"/>
    <w:rsid w:val="00EB325A"/>
    <w:rsid w:val="00EB5A0F"/>
    <w:rsid w:val="00ED1AE3"/>
    <w:rsid w:val="00ED30A7"/>
    <w:rsid w:val="00EE7F9C"/>
    <w:rsid w:val="00EF4B1A"/>
    <w:rsid w:val="00F05A3F"/>
    <w:rsid w:val="00F11B83"/>
    <w:rsid w:val="00F13509"/>
    <w:rsid w:val="00F13711"/>
    <w:rsid w:val="00F425A1"/>
    <w:rsid w:val="00F527B8"/>
    <w:rsid w:val="00F56A49"/>
    <w:rsid w:val="00F62879"/>
    <w:rsid w:val="00F63C29"/>
    <w:rsid w:val="00F81B15"/>
    <w:rsid w:val="00F96A16"/>
    <w:rsid w:val="00FB05E9"/>
    <w:rsid w:val="00FC1DB1"/>
    <w:rsid w:val="00FC2195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37A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8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E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CF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D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45FB"/>
  </w:style>
  <w:style w:type="paragraph" w:styleId="a8">
    <w:name w:val="footer"/>
    <w:basedOn w:val="a"/>
    <w:link w:val="a9"/>
    <w:uiPriority w:val="99"/>
    <w:unhideWhenUsed/>
    <w:rsid w:val="00AD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37A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8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E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6CF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D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45FB"/>
  </w:style>
  <w:style w:type="paragraph" w:styleId="a8">
    <w:name w:val="footer"/>
    <w:basedOn w:val="a"/>
    <w:link w:val="a9"/>
    <w:uiPriority w:val="99"/>
    <w:unhideWhenUsed/>
    <w:rsid w:val="00AD4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4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BFAE05CC13BDC2F34627150BB2395B6DE410ECAD9018F6CCF26E5766708E69D51DF286B64A6A1D1EE2CE20r8aF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BFAE05CC13BDC2F34627150BB2395B6DE410ECAD9211F2C0F06E5766708E69D51DF286B64A6A1D1EE2CF22r8aD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BFAE05CC13BDC2F34639181DDE6E546AE749E1AF981AA098A668003920883C955DF4D1FDr0aB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FBFAE05CC13BDC2F34639181DDE6E546AE74CE8A8931AA098A668003920883C955DF4D3F50E661Ar1a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432A6A8D6EB7030637683E3C25A68EAEFD05105A82DF946107378B951AB41D80AA22C20912E28E6B78C0C217FV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9CB8D-3D67-4635-BF8F-2E0EF6CB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29</Pages>
  <Words>8277</Words>
  <Characters>47184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Белкина Наталья</dc:creator>
  <cp:lastModifiedBy>Юлия В. Федорова</cp:lastModifiedBy>
  <cp:revision>119</cp:revision>
  <cp:lastPrinted>2015-12-14T14:45:00Z</cp:lastPrinted>
  <dcterms:created xsi:type="dcterms:W3CDTF">2015-11-26T11:25:00Z</dcterms:created>
  <dcterms:modified xsi:type="dcterms:W3CDTF">2015-12-21T09:39:00Z</dcterms:modified>
</cp:coreProperties>
</file>